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F7F9813" w:rsidR="00E66558" w:rsidRDefault="001E558D">
      <w:pPr>
        <w:pStyle w:val="Heading1"/>
      </w:pPr>
      <w:bookmarkStart w:id="0" w:name="_Toc400361362"/>
      <w:bookmarkStart w:id="1" w:name="_Toc443397153"/>
      <w:bookmarkStart w:id="2" w:name="_Toc357771638"/>
      <w:bookmarkStart w:id="3" w:name="_Toc346793416"/>
      <w:bookmarkStart w:id="4" w:name="_Toc328122777"/>
      <w:r w:rsidRPr="001E558D">
        <w:rPr>
          <w:b w:val="0"/>
          <w:bCs/>
          <w:noProof/>
          <w:color w:val="auto"/>
          <w:sz w:val="24"/>
        </w:rPr>
        <w:drawing>
          <wp:anchor distT="0" distB="0" distL="114300" distR="114300" simplePos="0" relativeHeight="251658240" behindDoc="1" locked="0" layoutInCell="1" allowOverlap="1" wp14:anchorId="688B9FAB" wp14:editId="74B735EB">
            <wp:simplePos x="0" y="0"/>
            <wp:positionH relativeFrom="margin">
              <wp:posOffset>4895191</wp:posOffset>
            </wp:positionH>
            <wp:positionV relativeFrom="paragraph">
              <wp:posOffset>-297060</wp:posOffset>
            </wp:positionV>
            <wp:extent cx="797770" cy="854015"/>
            <wp:effectExtent l="0" t="0" r="2540" b="3810"/>
            <wp:wrapNone/>
            <wp:docPr id="1" name="Picture 1" descr="F:\St Marys Logo\Badg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 Marys Logo\Badge p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770" cy="85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01DD3A3" w:rsidR="00E66558" w:rsidRDefault="009D71E8">
      <w:pPr>
        <w:pStyle w:val="Heading2"/>
        <w:rPr>
          <w:b w:val="0"/>
          <w:bCs/>
          <w:color w:val="auto"/>
          <w:sz w:val="24"/>
          <w:szCs w:val="24"/>
        </w:rPr>
      </w:pPr>
      <w:r>
        <w:rPr>
          <w:b w:val="0"/>
          <w:bCs/>
          <w:color w:val="auto"/>
          <w:sz w:val="24"/>
          <w:szCs w:val="24"/>
        </w:rPr>
        <w:t>This statement details our school’s use of pupil premium (and r</w:t>
      </w:r>
      <w:r w:rsidR="001E558D" w:rsidRPr="001E55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Pr>
          <w:b w:val="0"/>
          <w:bCs/>
          <w:color w:val="auto"/>
          <w:sz w:val="24"/>
          <w:szCs w:val="24"/>
        </w:rPr>
        <w:t>ecovery</w:t>
      </w:r>
      <w:proofErr w:type="spellEnd"/>
      <w:r>
        <w:rPr>
          <w:b w:val="0"/>
          <w:bCs/>
          <w:color w:val="auto"/>
          <w:sz w:val="24"/>
          <w:szCs w:val="24"/>
        </w:rPr>
        <w:t xml:space="preserve"> premium for the 2021 to 2022 academic year) funding to help improve the attainment of our disadvantaged pupils. </w:t>
      </w:r>
    </w:p>
    <w:p w14:paraId="2A7D54B3" w14:textId="479F68F1" w:rsidR="00E66558" w:rsidRPr="00736A62" w:rsidRDefault="009D71E8">
      <w:pPr>
        <w:pStyle w:val="Heading2"/>
        <w:spacing w:before="240"/>
        <w:rPr>
          <w:b w:val="0"/>
          <w:bCs/>
          <w:color w:val="4F81BD" w:themeColor="accent1"/>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r w:rsidR="00736A62" w:rsidRPr="00736A62">
        <w:rPr>
          <w:b w:val="0"/>
          <w:bCs/>
          <w:color w:val="4F81BD" w:themeColor="accent1"/>
          <w:sz w:val="24"/>
          <w:szCs w:val="24"/>
        </w:rPr>
        <w:t>Text in blue shows the update</w:t>
      </w:r>
      <w:r w:rsidR="00736A62">
        <w:rPr>
          <w:b w:val="0"/>
          <w:bCs/>
          <w:color w:val="4F81BD" w:themeColor="accent1"/>
          <w:sz w:val="24"/>
          <w:szCs w:val="24"/>
        </w:rPr>
        <w:t>d information</w:t>
      </w:r>
      <w:r w:rsidR="00736A62" w:rsidRPr="00736A62">
        <w:rPr>
          <w:b w:val="0"/>
          <w:bCs/>
          <w:color w:val="4F81BD" w:themeColor="accent1"/>
          <w:sz w:val="24"/>
          <w:szCs w:val="24"/>
        </w:rPr>
        <w:t xml:space="preserve"> for 2022-23</w:t>
      </w:r>
      <w:r w:rsidR="00736A62">
        <w:rPr>
          <w:b w:val="0"/>
          <w:bCs/>
          <w:color w:val="4F81BD" w:themeColor="accent1"/>
          <w:sz w:val="24"/>
          <w:szCs w:val="24"/>
        </w:rPr>
        <w:t>.</w:t>
      </w:r>
    </w:p>
    <w:p w14:paraId="2A7D54B4" w14:textId="4A7A4395"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F2350" w14:paraId="2A7D54BA"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F2350" w:rsidRDefault="00EF2350" w:rsidP="00EF2350">
            <w:pPr>
              <w:pStyle w:val="TableRow"/>
            </w:pPr>
            <w:r>
              <w:t>School name</w:t>
            </w:r>
          </w:p>
        </w:tc>
        <w:tc>
          <w:tcPr>
            <w:tcW w:w="2969" w:type="dxa"/>
            <w:tcBorders>
              <w:top w:val="single" w:sz="4" w:space="0" w:color="000000"/>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A7D54B9" w14:textId="3983420D" w:rsidR="00EF2350" w:rsidRPr="00EF2350" w:rsidRDefault="00EF2350" w:rsidP="00EF2350">
            <w:pPr>
              <w:pStyle w:val="TableRow"/>
            </w:pPr>
            <w:r w:rsidRPr="00EF2350">
              <w:t>St Marys RC Primary School</w:t>
            </w:r>
          </w:p>
        </w:tc>
      </w:tr>
      <w:tr w:rsidR="00EF2350" w14:paraId="2A7D54BD"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F2350" w:rsidRDefault="00EF2350" w:rsidP="00EF2350">
            <w:pPr>
              <w:pStyle w:val="TableRow"/>
            </w:pPr>
            <w:r>
              <w:t xml:space="preserve">Number of pupils in school </w:t>
            </w:r>
          </w:p>
        </w:tc>
        <w:tc>
          <w:tcPr>
            <w:tcW w:w="2969" w:type="dxa"/>
            <w:tcBorders>
              <w:top w:val="single" w:sz="4" w:space="0" w:color="000000" w:themeColor="text1"/>
              <w:left w:val="single" w:sz="4" w:space="0" w:color="BFBFBF"/>
              <w:bottom w:val="single" w:sz="4" w:space="0" w:color="BFBFBF"/>
              <w:right w:val="single" w:sz="4" w:space="0" w:color="000000" w:themeColor="text1"/>
            </w:tcBorders>
            <w:tcMar>
              <w:top w:w="0" w:type="dxa"/>
              <w:left w:w="108" w:type="dxa"/>
              <w:bottom w:w="0" w:type="dxa"/>
              <w:right w:w="108" w:type="dxa"/>
            </w:tcMar>
          </w:tcPr>
          <w:p w14:paraId="2A7D54BC" w14:textId="30C67B09" w:rsidR="00EF2350" w:rsidRPr="00736A62" w:rsidRDefault="00D114CD" w:rsidP="002F76E8">
            <w:pPr>
              <w:pStyle w:val="TableRow"/>
              <w:rPr>
                <w:color w:val="4F81BD" w:themeColor="accent1"/>
              </w:rPr>
            </w:pPr>
            <w:r w:rsidRPr="00736A62">
              <w:rPr>
                <w:color w:val="4F81BD" w:themeColor="accent1"/>
              </w:rPr>
              <w:t>397</w:t>
            </w:r>
          </w:p>
        </w:tc>
      </w:tr>
      <w:tr w:rsidR="00EF2350" w14:paraId="2A7D54C0" w14:textId="77777777" w:rsidTr="00EF2350">
        <w:tc>
          <w:tcPr>
            <w:tcW w:w="6517" w:type="dxa"/>
            <w:tcBorders>
              <w:top w:val="single" w:sz="4" w:space="0" w:color="000000" w:themeColor="text1"/>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F2350" w:rsidRDefault="00EF2350" w:rsidP="00EF2350">
            <w:pPr>
              <w:pStyle w:val="TableRow"/>
            </w:pPr>
            <w:r>
              <w:t>Proportion (%) of pupil premium eligible pupils</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A7D54BF" w14:textId="72065589" w:rsidR="00EF2350" w:rsidRPr="00736A62" w:rsidRDefault="00D114CD" w:rsidP="00D114CD">
            <w:pPr>
              <w:pStyle w:val="TableRow"/>
              <w:rPr>
                <w:color w:val="4F81BD" w:themeColor="accent1"/>
              </w:rPr>
            </w:pPr>
            <w:r w:rsidRPr="00736A62">
              <w:rPr>
                <w:color w:val="4F81BD" w:themeColor="accent1"/>
              </w:rPr>
              <w:t>82</w:t>
            </w:r>
            <w:r w:rsidR="00EF2350" w:rsidRPr="00736A62">
              <w:rPr>
                <w:color w:val="4F81BD" w:themeColor="accent1"/>
              </w:rPr>
              <w:t xml:space="preserve"> (2</w:t>
            </w:r>
            <w:r w:rsidRPr="00736A62">
              <w:rPr>
                <w:color w:val="4F81BD" w:themeColor="accent1"/>
              </w:rPr>
              <w:t>1</w:t>
            </w:r>
            <w:r w:rsidR="00EF2350" w:rsidRPr="00736A62">
              <w:rPr>
                <w:color w:val="4F81BD" w:themeColor="accent1"/>
              </w:rPr>
              <w:t>%)</w:t>
            </w:r>
          </w:p>
        </w:tc>
      </w:tr>
      <w:tr w:rsidR="00EF2350" w14:paraId="2A7D54C3"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49F854" w:rsidR="00EF2350" w:rsidRDefault="00EF2350" w:rsidP="00EF2350">
            <w:pPr>
              <w:pStyle w:val="TableRow"/>
            </w:pPr>
            <w:r>
              <w:rPr>
                <w:szCs w:val="22"/>
              </w:rPr>
              <w:t xml:space="preserve">Academic year/years that our current pupil premium strategy plan covers </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59F160DC" w14:textId="77777777" w:rsidR="008D59AE" w:rsidRDefault="008D59AE" w:rsidP="008D59AE">
            <w:pPr>
              <w:pStyle w:val="TableRow"/>
            </w:pPr>
            <w:r>
              <w:t>2021/22 to</w:t>
            </w:r>
          </w:p>
          <w:p w14:paraId="2A7D54C2" w14:textId="1C1DB67C" w:rsidR="00EF2350" w:rsidRPr="00EF2350" w:rsidRDefault="008D59AE" w:rsidP="008D59AE">
            <w:pPr>
              <w:pStyle w:val="TableRow"/>
            </w:pPr>
            <w:r>
              <w:t>2024/25</w:t>
            </w:r>
          </w:p>
        </w:tc>
      </w:tr>
      <w:tr w:rsidR="00EF2350" w14:paraId="2A7D54C6"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F2350" w:rsidRDefault="00EF2350" w:rsidP="00EF2350">
            <w:pPr>
              <w:pStyle w:val="TableRow"/>
            </w:pPr>
            <w:r>
              <w:rPr>
                <w:szCs w:val="22"/>
              </w:rPr>
              <w:t>Date this statement was published</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1676EEA" w14:textId="77777777" w:rsidR="00EF2350" w:rsidRDefault="00D61DB6" w:rsidP="00EF2350">
            <w:pPr>
              <w:pStyle w:val="TableRow"/>
            </w:pPr>
            <w:r>
              <w:t>Autumn</w:t>
            </w:r>
            <w:r w:rsidR="00EF2350" w:rsidRPr="00EF2350">
              <w:t xml:space="preserve"> Term 2021</w:t>
            </w:r>
          </w:p>
          <w:p w14:paraId="2A7D54C5" w14:textId="5D90B42F" w:rsidR="003B0C59" w:rsidRPr="003B0C59" w:rsidRDefault="003B0C59" w:rsidP="00EF2350">
            <w:pPr>
              <w:pStyle w:val="TableRow"/>
              <w:rPr>
                <w:color w:val="4F81BD" w:themeColor="accent1"/>
              </w:rPr>
            </w:pPr>
            <w:r>
              <w:rPr>
                <w:color w:val="4F81BD" w:themeColor="accent1"/>
              </w:rPr>
              <w:t>December 2022 (updates in this colour)</w:t>
            </w:r>
          </w:p>
        </w:tc>
      </w:tr>
      <w:tr w:rsidR="00EF2350" w14:paraId="2A7D54C9"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F2350" w:rsidRDefault="00EF2350" w:rsidP="00EF2350">
            <w:pPr>
              <w:pStyle w:val="TableRow"/>
            </w:pPr>
            <w:r>
              <w:rPr>
                <w:szCs w:val="22"/>
              </w:rPr>
              <w:t>Date on which it will be reviewed</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3716B1D3" w14:textId="77777777" w:rsidR="00EF2350" w:rsidRDefault="00EF2350" w:rsidP="00EF2350">
            <w:pPr>
              <w:pStyle w:val="TableRow"/>
            </w:pPr>
            <w:r w:rsidRPr="00EF2350">
              <w:t>Summer Term 2022</w:t>
            </w:r>
          </w:p>
          <w:p w14:paraId="2A7D54C8" w14:textId="1236FE64" w:rsidR="003B0C59" w:rsidRPr="00EF2350" w:rsidRDefault="003B0C59" w:rsidP="00EF2350">
            <w:pPr>
              <w:pStyle w:val="TableRow"/>
            </w:pPr>
            <w:r w:rsidRPr="003B0C59">
              <w:rPr>
                <w:color w:val="4F81BD" w:themeColor="accent1"/>
              </w:rPr>
              <w:t>Summer Term 2023</w:t>
            </w:r>
          </w:p>
        </w:tc>
      </w:tr>
      <w:tr w:rsidR="00EF2350" w14:paraId="2A7D54CC"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F2350" w:rsidRDefault="00EF2350" w:rsidP="00EF2350">
            <w:pPr>
              <w:pStyle w:val="TableRow"/>
            </w:pPr>
            <w:r>
              <w:t>Statement authorised by</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A7D54CB" w14:textId="3418A692" w:rsidR="00EF2350" w:rsidRPr="00EF2350" w:rsidRDefault="00EF2350" w:rsidP="00EF2350">
            <w:pPr>
              <w:pStyle w:val="TableRow"/>
            </w:pPr>
            <w:r w:rsidRPr="00EF2350">
              <w:t>Mr J Travis</w:t>
            </w:r>
          </w:p>
        </w:tc>
      </w:tr>
      <w:tr w:rsidR="00EF2350" w14:paraId="2A7D54CF" w14:textId="77777777" w:rsidTr="00EF235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F2350" w:rsidRDefault="00EF2350" w:rsidP="00EF2350">
            <w:pPr>
              <w:pStyle w:val="TableRow"/>
            </w:pPr>
            <w:r>
              <w:t>Pupil premium lead</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A7D54CE" w14:textId="6275AF4B" w:rsidR="00EF2350" w:rsidRPr="00EF2350" w:rsidRDefault="006E4979" w:rsidP="00EF2350">
            <w:pPr>
              <w:pStyle w:val="TableRow"/>
            </w:pPr>
            <w:r>
              <w:t>Mr C</w:t>
            </w:r>
            <w:r w:rsidR="00EF2350" w:rsidRPr="00EF2350">
              <w:t xml:space="preserve"> Jacques</w:t>
            </w:r>
          </w:p>
        </w:tc>
      </w:tr>
      <w:tr w:rsidR="00EF2350" w14:paraId="2A7D54D2" w14:textId="77777777" w:rsidTr="006E497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F2350" w:rsidRDefault="00EF2350" w:rsidP="00EF2350">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BFBFBF"/>
              <w:bottom w:val="single" w:sz="4" w:space="0" w:color="000000" w:themeColor="text1"/>
              <w:right w:val="single" w:sz="4" w:space="0" w:color="000000" w:themeColor="text1"/>
            </w:tcBorders>
            <w:tcMar>
              <w:top w:w="0" w:type="dxa"/>
              <w:left w:w="108" w:type="dxa"/>
              <w:bottom w:w="0" w:type="dxa"/>
              <w:right w:w="108" w:type="dxa"/>
            </w:tcMar>
          </w:tcPr>
          <w:p w14:paraId="2A7D54D1" w14:textId="1C97512B" w:rsidR="00EF2350" w:rsidRPr="00EF2350" w:rsidRDefault="002F76E8" w:rsidP="006E4979">
            <w:pPr>
              <w:pStyle w:val="TableRow"/>
              <w:rPr>
                <w:sz w:val="20"/>
                <w:szCs w:val="20"/>
              </w:rPr>
            </w:pPr>
            <w:r>
              <w:t>Mr C Rayner</w:t>
            </w:r>
          </w:p>
        </w:tc>
      </w:tr>
    </w:tbl>
    <w:bookmarkEnd w:id="2"/>
    <w:bookmarkEnd w:id="3"/>
    <w:bookmarkEnd w:id="4"/>
    <w:p w14:paraId="2A7D54D3" w14:textId="77777777" w:rsidR="00E66558" w:rsidRDefault="009D71E8">
      <w:pPr>
        <w:spacing w:before="480"/>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DC1A22" w:rsidR="00E66558" w:rsidRPr="00736A62" w:rsidRDefault="00736A62" w:rsidP="00736A62">
            <w:pPr>
              <w:pStyle w:val="TableRow"/>
              <w:rPr>
                <w:color w:val="4F81BD" w:themeColor="accent1"/>
              </w:rPr>
            </w:pPr>
            <w:r w:rsidRPr="00736A62">
              <w:rPr>
                <w:color w:val="4F81BD" w:themeColor="accent1"/>
              </w:rPr>
              <w:t xml:space="preserve">£110,290 </w:t>
            </w:r>
            <w:r w:rsidRPr="00736A62">
              <w:rPr>
                <w:color w:val="4F81BD" w:themeColor="accent1"/>
                <w:sz w:val="18"/>
              </w:rPr>
              <w:t>(£1345 x 82)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D46AA" w14:textId="6F851E61" w:rsidR="00E66558" w:rsidRPr="002D77D9" w:rsidRDefault="002D77D9">
            <w:pPr>
              <w:pStyle w:val="TableRow"/>
              <w:rPr>
                <w:sz w:val="18"/>
              </w:rPr>
            </w:pPr>
            <w:r w:rsidRPr="002D77D9">
              <w:rPr>
                <w:sz w:val="18"/>
              </w:rPr>
              <w:t xml:space="preserve">21-22 - </w:t>
            </w:r>
            <w:r w:rsidR="009D71E8" w:rsidRPr="002D77D9">
              <w:rPr>
                <w:sz w:val="18"/>
              </w:rPr>
              <w:t>£</w:t>
            </w:r>
            <w:r w:rsidR="00125D8C" w:rsidRPr="002D77D9">
              <w:rPr>
                <w:sz w:val="18"/>
              </w:rPr>
              <w:t>13 920 (£145 x 96)</w:t>
            </w:r>
          </w:p>
          <w:p w14:paraId="2A7D54DB" w14:textId="6BE8BE37" w:rsidR="003B0C59" w:rsidRDefault="002D77D9">
            <w:pPr>
              <w:pStyle w:val="TableRow"/>
            </w:pPr>
            <w:r>
              <w:rPr>
                <w:color w:val="4F81BD" w:themeColor="accent1"/>
              </w:rPr>
              <w:t>£</w:t>
            </w:r>
            <w:r w:rsidR="003B0C59" w:rsidRPr="003B0C59">
              <w:rPr>
                <w:color w:val="4F81BD" w:themeColor="accent1"/>
              </w:rPr>
              <w:t>0 for 22-23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F2F032A" w:rsidR="00E66558" w:rsidRDefault="009D71E8">
            <w:pPr>
              <w:pStyle w:val="TableRow"/>
            </w:pPr>
            <w:r w:rsidRPr="0001660D">
              <w:t>£</w:t>
            </w:r>
            <w:r w:rsidR="00125D8C" w:rsidRPr="0001660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1CFC9DE" w:rsidR="00E66558" w:rsidRPr="00D61DB6" w:rsidRDefault="009D71E8" w:rsidP="00D61DB6">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3F205CB" w:rsidR="00E66558" w:rsidRDefault="00736A62" w:rsidP="00736A62">
            <w:pPr>
              <w:pStyle w:val="TableRow"/>
            </w:pPr>
            <w:r w:rsidRPr="00736A62">
              <w:rPr>
                <w:color w:val="4F81BD" w:themeColor="accent1"/>
              </w:rPr>
              <w:t xml:space="preserve">£110,290 </w:t>
            </w:r>
          </w:p>
        </w:tc>
      </w:tr>
    </w:tbl>
    <w:p w14:paraId="2A7D54E4" w14:textId="77777777" w:rsidR="00E66558" w:rsidRDefault="009D71E8" w:rsidP="001E4CE3">
      <w:pPr>
        <w:pStyle w:val="Heading1"/>
        <w:jc w:val="both"/>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C9A97" w14:textId="77777777" w:rsidR="002524E9" w:rsidRDefault="002524E9" w:rsidP="002524E9">
            <w:pPr>
              <w:autoSpaceDE w:val="0"/>
              <w:adjustRightInd w:val="0"/>
              <w:jc w:val="both"/>
              <w:rPr>
                <w:rFonts w:cs="Andalus"/>
                <w:b/>
                <w:color w:val="auto"/>
                <w:u w:val="single"/>
              </w:rPr>
            </w:pPr>
            <w:r>
              <w:rPr>
                <w:rFonts w:cs="Andalus"/>
                <w:b/>
                <w:u w:val="single"/>
              </w:rPr>
              <w:t>Objectives of Pupil Premium Expenditure: INTENT</w:t>
            </w:r>
          </w:p>
          <w:p w14:paraId="2A934B94" w14:textId="77777777" w:rsidR="002524E9" w:rsidRDefault="002524E9" w:rsidP="002524E9">
            <w:pPr>
              <w:autoSpaceDE w:val="0"/>
              <w:adjustRightInd w:val="0"/>
              <w:jc w:val="both"/>
              <w:rPr>
                <w:rFonts w:cs="Andalus"/>
              </w:rPr>
            </w:pPr>
          </w:p>
          <w:p w14:paraId="7B80279B" w14:textId="5F7F7F85" w:rsidR="00D61DB6" w:rsidRPr="00D61DB6" w:rsidRDefault="002524E9" w:rsidP="00645FB1">
            <w:pPr>
              <w:numPr>
                <w:ilvl w:val="0"/>
                <w:numId w:val="14"/>
              </w:numPr>
              <w:autoSpaceDE w:val="0"/>
              <w:adjustRightInd w:val="0"/>
              <w:contextualSpacing/>
              <w:jc w:val="both"/>
              <w:rPr>
                <w:rFonts w:cs="Andalus"/>
              </w:rPr>
            </w:pPr>
            <w:r>
              <w:rPr>
                <w:rFonts w:cs="Andalus"/>
              </w:rPr>
              <w:t xml:space="preserve">Improve the progress and raise attainment for our vulnerable pupils at every Key Stage – EYFS, KS1 and KS2, by providing additional educational support when </w:t>
            </w:r>
            <w:proofErr w:type="gramStart"/>
            <w:r>
              <w:rPr>
                <w:rFonts w:cs="Andalus"/>
              </w:rPr>
              <w:t>necessary;</w:t>
            </w:r>
            <w:proofErr w:type="gramEnd"/>
          </w:p>
          <w:p w14:paraId="480F7AF5" w14:textId="77777777" w:rsidR="002524E9" w:rsidRDefault="002524E9" w:rsidP="00645FB1">
            <w:pPr>
              <w:numPr>
                <w:ilvl w:val="0"/>
                <w:numId w:val="14"/>
              </w:numPr>
              <w:autoSpaceDE w:val="0"/>
              <w:adjustRightInd w:val="0"/>
              <w:contextualSpacing/>
              <w:jc w:val="both"/>
              <w:rPr>
                <w:rFonts w:cs="Andalus"/>
              </w:rPr>
            </w:pPr>
            <w:r>
              <w:rPr>
                <w:rFonts w:cs="Andalus"/>
              </w:rPr>
              <w:t>Diminish the difference between the achievement of vulnerable pupils and their peers and ensure, when appropriate that pupils are identified as ‘most able</w:t>
            </w:r>
            <w:proofErr w:type="gramStart"/>
            <w:r>
              <w:rPr>
                <w:rFonts w:cs="Andalus"/>
              </w:rPr>
              <w:t>’;</w:t>
            </w:r>
            <w:proofErr w:type="gramEnd"/>
          </w:p>
          <w:p w14:paraId="14ECF188" w14:textId="77777777" w:rsidR="002524E9" w:rsidRDefault="002524E9" w:rsidP="00645FB1">
            <w:pPr>
              <w:numPr>
                <w:ilvl w:val="0"/>
                <w:numId w:val="14"/>
              </w:numPr>
              <w:autoSpaceDE w:val="0"/>
              <w:adjustRightInd w:val="0"/>
              <w:contextualSpacing/>
              <w:jc w:val="both"/>
              <w:rPr>
                <w:rFonts w:cs="Andalus"/>
              </w:rPr>
            </w:pPr>
            <w:r>
              <w:rPr>
                <w:rFonts w:cs="Andalus"/>
              </w:rPr>
              <w:t xml:space="preserve">Address any underlying inequalities between vulnerable pupils and their </w:t>
            </w:r>
            <w:proofErr w:type="gramStart"/>
            <w:r>
              <w:rPr>
                <w:rFonts w:cs="Andalus"/>
              </w:rPr>
              <w:t>peers;</w:t>
            </w:r>
            <w:proofErr w:type="gramEnd"/>
          </w:p>
          <w:p w14:paraId="60FAB0CB" w14:textId="77777777" w:rsidR="002524E9" w:rsidRDefault="002524E9" w:rsidP="00645FB1">
            <w:pPr>
              <w:numPr>
                <w:ilvl w:val="0"/>
                <w:numId w:val="15"/>
              </w:numPr>
              <w:autoSpaceDN/>
              <w:spacing w:after="200"/>
              <w:contextualSpacing/>
              <w:jc w:val="both"/>
              <w:rPr>
                <w:rFonts w:cs="Andalus"/>
              </w:rPr>
            </w:pPr>
            <w:r>
              <w:rPr>
                <w:rFonts w:cs="Andalus"/>
              </w:rPr>
              <w:t xml:space="preserve">Raise the aspirations of our vulnerable pupils by inspiring them to become self-motivated and active participants in their own learning, embedding these values to ensure they can become lifelong </w:t>
            </w:r>
            <w:proofErr w:type="gramStart"/>
            <w:r>
              <w:rPr>
                <w:rFonts w:cs="Andalus"/>
              </w:rPr>
              <w:t>learners;</w:t>
            </w:r>
            <w:proofErr w:type="gramEnd"/>
          </w:p>
          <w:p w14:paraId="0C5D330B" w14:textId="77777777" w:rsidR="002524E9" w:rsidRDefault="002524E9" w:rsidP="00645FB1">
            <w:pPr>
              <w:numPr>
                <w:ilvl w:val="0"/>
                <w:numId w:val="14"/>
              </w:numPr>
              <w:autoSpaceDN/>
              <w:spacing w:after="200"/>
              <w:contextualSpacing/>
              <w:jc w:val="both"/>
              <w:rPr>
                <w:rFonts w:cs="Andalus"/>
              </w:rPr>
            </w:pPr>
            <w:r>
              <w:rPr>
                <w:rFonts w:cs="Andalus"/>
              </w:rPr>
              <w:t>Improve attendance rates for our vulnerable pupils</w:t>
            </w:r>
          </w:p>
          <w:p w14:paraId="6E7BD18F" w14:textId="57109EBA" w:rsidR="002524E9" w:rsidRDefault="00AE6F1E" w:rsidP="00645FB1">
            <w:pPr>
              <w:numPr>
                <w:ilvl w:val="0"/>
                <w:numId w:val="14"/>
              </w:numPr>
              <w:autoSpaceDN/>
              <w:spacing w:after="200"/>
              <w:contextualSpacing/>
              <w:jc w:val="both"/>
              <w:rPr>
                <w:rFonts w:cs="Andalus"/>
              </w:rPr>
            </w:pPr>
            <w:r>
              <w:rPr>
                <w:rFonts w:cs="Andalus"/>
              </w:rPr>
              <w:t>To engage parents of disadvantaged</w:t>
            </w:r>
            <w:r w:rsidR="002524E9">
              <w:rPr>
                <w:rFonts w:cs="Andalus"/>
              </w:rPr>
              <w:t xml:space="preserve"> pupils in their children’s learning.</w:t>
            </w:r>
          </w:p>
          <w:p w14:paraId="0A098D94" w14:textId="77777777" w:rsidR="002524E9" w:rsidRDefault="002524E9" w:rsidP="00645FB1">
            <w:pPr>
              <w:numPr>
                <w:ilvl w:val="0"/>
                <w:numId w:val="14"/>
              </w:numPr>
              <w:autoSpaceDE w:val="0"/>
              <w:adjustRightInd w:val="0"/>
              <w:contextualSpacing/>
              <w:jc w:val="both"/>
              <w:rPr>
                <w:rFonts w:cs="Andalus"/>
              </w:rPr>
            </w:pPr>
            <w:r>
              <w:rPr>
                <w:rFonts w:cs="Andalus"/>
              </w:rPr>
              <w:t xml:space="preserve">Extend opportunities and experiences available to our vulnerable </w:t>
            </w:r>
            <w:proofErr w:type="gramStart"/>
            <w:r>
              <w:rPr>
                <w:rFonts w:cs="Andalus"/>
              </w:rPr>
              <w:t>pupils;</w:t>
            </w:r>
            <w:proofErr w:type="gramEnd"/>
          </w:p>
          <w:p w14:paraId="47FE0465" w14:textId="77777777" w:rsidR="002524E9" w:rsidRDefault="002524E9" w:rsidP="00645FB1">
            <w:pPr>
              <w:numPr>
                <w:ilvl w:val="0"/>
                <w:numId w:val="14"/>
              </w:numPr>
              <w:autoSpaceDE w:val="0"/>
              <w:adjustRightInd w:val="0"/>
              <w:contextualSpacing/>
              <w:jc w:val="both"/>
              <w:rPr>
                <w:rFonts w:cs="Andalus"/>
              </w:rPr>
            </w:pPr>
            <w:r w:rsidRPr="002524E9">
              <w:rPr>
                <w:rFonts w:cs="Andalus"/>
              </w:rPr>
              <w:t>Ensure that the additional funding reaches vulnerable pupils so that it makes a significant impact on their education and lives.</w:t>
            </w:r>
          </w:p>
          <w:p w14:paraId="76FB72BD" w14:textId="77777777" w:rsidR="002524E9" w:rsidRDefault="002524E9" w:rsidP="00645FB1">
            <w:pPr>
              <w:autoSpaceDE w:val="0"/>
              <w:adjustRightInd w:val="0"/>
              <w:contextualSpacing/>
              <w:jc w:val="both"/>
              <w:rPr>
                <w:rFonts w:cs="Andalus"/>
              </w:rPr>
            </w:pPr>
          </w:p>
          <w:p w14:paraId="38FCB63B" w14:textId="77777777" w:rsidR="002524E9" w:rsidRDefault="002524E9" w:rsidP="00645FB1">
            <w:pPr>
              <w:autoSpaceDE w:val="0"/>
              <w:adjustRightInd w:val="0"/>
              <w:contextualSpacing/>
              <w:jc w:val="both"/>
              <w:rPr>
                <w:rFonts w:cs="Andalus"/>
                <w:b/>
                <w:color w:val="auto"/>
                <w:u w:val="single"/>
              </w:rPr>
            </w:pPr>
            <w:r>
              <w:rPr>
                <w:rFonts w:cs="Andalus"/>
                <w:b/>
                <w:u w:val="single"/>
              </w:rPr>
              <w:t>Strategies: IMPLEMENTATION</w:t>
            </w:r>
          </w:p>
          <w:p w14:paraId="51E7CCE0" w14:textId="77777777" w:rsidR="002524E9" w:rsidRDefault="002524E9" w:rsidP="00645FB1">
            <w:pPr>
              <w:autoSpaceDE w:val="0"/>
              <w:adjustRightInd w:val="0"/>
              <w:contextualSpacing/>
              <w:jc w:val="both"/>
              <w:rPr>
                <w:rFonts w:cs="Andalus"/>
              </w:rPr>
            </w:pPr>
          </w:p>
          <w:p w14:paraId="44AB863D" w14:textId="77777777" w:rsidR="002524E9" w:rsidRDefault="002524E9" w:rsidP="00645FB1">
            <w:pPr>
              <w:numPr>
                <w:ilvl w:val="0"/>
                <w:numId w:val="16"/>
              </w:numPr>
              <w:autoSpaceDE w:val="0"/>
              <w:adjustRightInd w:val="0"/>
              <w:contextualSpacing/>
              <w:jc w:val="both"/>
              <w:rPr>
                <w:rFonts w:cs="Andalus"/>
              </w:rPr>
            </w:pPr>
            <w:r>
              <w:rPr>
                <w:rFonts w:cs="Andalus"/>
              </w:rPr>
              <w:t xml:space="preserve">Pupil Premium is clearly identifiable within the school </w:t>
            </w:r>
            <w:proofErr w:type="gramStart"/>
            <w:r>
              <w:rPr>
                <w:rFonts w:cs="Andalus"/>
              </w:rPr>
              <w:t>budget;</w:t>
            </w:r>
            <w:proofErr w:type="gramEnd"/>
          </w:p>
          <w:p w14:paraId="0349BC56" w14:textId="77777777" w:rsidR="002524E9" w:rsidRDefault="002524E9" w:rsidP="00645FB1">
            <w:pPr>
              <w:numPr>
                <w:ilvl w:val="0"/>
                <w:numId w:val="16"/>
              </w:numPr>
              <w:autoSpaceDE w:val="0"/>
              <w:adjustRightInd w:val="0"/>
              <w:contextualSpacing/>
              <w:jc w:val="both"/>
              <w:rPr>
                <w:rFonts w:cs="Andalus"/>
              </w:rPr>
            </w:pPr>
            <w:r>
              <w:rPr>
                <w:rFonts w:cs="Andalus"/>
              </w:rPr>
              <w:t xml:space="preserve">The Inclusion Team, governors and SLT, will consult on how the Pupil Premium is spent for the benefit of entitled </w:t>
            </w:r>
            <w:proofErr w:type="gramStart"/>
            <w:r>
              <w:rPr>
                <w:rFonts w:cs="Andalus"/>
              </w:rPr>
              <w:t>pupils;</w:t>
            </w:r>
            <w:proofErr w:type="gramEnd"/>
          </w:p>
          <w:p w14:paraId="3ECAF17B" w14:textId="29B4B094" w:rsidR="002524E9" w:rsidRDefault="002524E9" w:rsidP="00645FB1">
            <w:pPr>
              <w:numPr>
                <w:ilvl w:val="0"/>
                <w:numId w:val="16"/>
              </w:numPr>
              <w:autoSpaceDN/>
              <w:spacing w:after="200" w:line="276" w:lineRule="auto"/>
              <w:contextualSpacing/>
              <w:jc w:val="both"/>
              <w:rPr>
                <w:rFonts w:cs="Andalus"/>
              </w:rPr>
            </w:pPr>
            <w:r>
              <w:rPr>
                <w:rFonts w:cs="Andalus"/>
              </w:rPr>
              <w:t xml:space="preserve">All staff are aware of who the vulnerable children are in their class and ensure that pupil’s needs are considered individually to determine what support they need to reach their full </w:t>
            </w:r>
            <w:proofErr w:type="gramStart"/>
            <w:r>
              <w:rPr>
                <w:rFonts w:cs="Andalus"/>
              </w:rPr>
              <w:t>potential;</w:t>
            </w:r>
            <w:proofErr w:type="gramEnd"/>
          </w:p>
          <w:p w14:paraId="0A9EC50B" w14:textId="77777777" w:rsidR="002524E9" w:rsidRDefault="002524E9" w:rsidP="00645FB1">
            <w:pPr>
              <w:numPr>
                <w:ilvl w:val="0"/>
                <w:numId w:val="16"/>
              </w:numPr>
              <w:autoSpaceDN/>
              <w:spacing w:after="200" w:line="276" w:lineRule="auto"/>
              <w:contextualSpacing/>
              <w:jc w:val="both"/>
              <w:rPr>
                <w:rFonts w:cs="Andalus"/>
              </w:rPr>
            </w:pPr>
            <w:r>
              <w:rPr>
                <w:rFonts w:cs="Andalus"/>
              </w:rPr>
              <w:t xml:space="preserve">All children, including those vulnerable pupils, receive quality teaching and are set high </w:t>
            </w:r>
            <w:proofErr w:type="gramStart"/>
            <w:r>
              <w:rPr>
                <w:rFonts w:cs="Andalus"/>
              </w:rPr>
              <w:t>expectations;</w:t>
            </w:r>
            <w:proofErr w:type="gramEnd"/>
          </w:p>
          <w:p w14:paraId="4AD6AEAB" w14:textId="26CEB80D" w:rsidR="001B2E27" w:rsidRDefault="002524E9" w:rsidP="00645FB1">
            <w:pPr>
              <w:numPr>
                <w:ilvl w:val="0"/>
                <w:numId w:val="16"/>
              </w:numPr>
              <w:autoSpaceDN/>
              <w:spacing w:after="200" w:line="276" w:lineRule="auto"/>
              <w:contextualSpacing/>
              <w:jc w:val="both"/>
              <w:rPr>
                <w:rFonts w:cs="Andalus"/>
              </w:rPr>
            </w:pPr>
            <w:r>
              <w:rPr>
                <w:rFonts w:cs="Andalus"/>
              </w:rPr>
              <w:t xml:space="preserve">All staff and adults in school ensure consistent implementation of agreed whole school strategies, such as targeted marking and pupil feedback, intervention </w:t>
            </w:r>
            <w:r w:rsidR="00FD711A">
              <w:rPr>
                <w:rFonts w:cs="Andalus"/>
              </w:rPr>
              <w:t xml:space="preserve">    </w:t>
            </w:r>
            <w:r>
              <w:rPr>
                <w:rFonts w:cs="Andalus"/>
              </w:rPr>
              <w:t xml:space="preserve">programmes and reading </w:t>
            </w:r>
            <w:proofErr w:type="gramStart"/>
            <w:r>
              <w:rPr>
                <w:rFonts w:cs="Andalus"/>
              </w:rPr>
              <w:t>sessions;</w:t>
            </w:r>
            <w:proofErr w:type="gramEnd"/>
          </w:p>
          <w:p w14:paraId="63137BFC" w14:textId="77777777" w:rsidR="00F85716" w:rsidRDefault="002524E9" w:rsidP="00645FB1">
            <w:pPr>
              <w:numPr>
                <w:ilvl w:val="0"/>
                <w:numId w:val="16"/>
              </w:numPr>
              <w:autoSpaceDN/>
              <w:spacing w:after="200" w:line="276" w:lineRule="auto"/>
              <w:contextualSpacing/>
              <w:jc w:val="both"/>
              <w:rPr>
                <w:rFonts w:cs="Andalus"/>
              </w:rPr>
            </w:pPr>
            <w:r w:rsidRPr="001B2E27">
              <w:rPr>
                <w:rFonts w:cs="Andalus"/>
              </w:rPr>
              <w:t>The Inclusion Team have brought in a Pupil Premium Consultant to support us with the planning and implementation of this policy.</w:t>
            </w:r>
          </w:p>
          <w:p w14:paraId="251E3F1B" w14:textId="60B53520" w:rsidR="00B033C3" w:rsidRDefault="00B033C3" w:rsidP="00B033C3">
            <w:pPr>
              <w:autoSpaceDN/>
              <w:spacing w:after="200" w:line="276" w:lineRule="auto"/>
              <w:contextualSpacing/>
              <w:jc w:val="both"/>
              <w:rPr>
                <w:rFonts w:cs="Andalus"/>
              </w:rPr>
            </w:pPr>
          </w:p>
          <w:p w14:paraId="0B873E22" w14:textId="77777777" w:rsidR="00B033C3" w:rsidRPr="00215EC2" w:rsidRDefault="00B033C3" w:rsidP="00B033C3">
            <w:pPr>
              <w:widowControl w:val="0"/>
              <w:autoSpaceDE w:val="0"/>
              <w:adjustRightInd w:val="0"/>
              <w:jc w:val="both"/>
              <w:rPr>
                <w:rFonts w:cs="Andalus"/>
              </w:rPr>
            </w:pPr>
            <w:r w:rsidRPr="00215EC2">
              <w:rPr>
                <w:rFonts w:cs="Andalus"/>
              </w:rPr>
              <w:t xml:space="preserve">At St Mary’s, we are fully committed to ensuring that the individual needs of each </w:t>
            </w:r>
            <w:r>
              <w:rPr>
                <w:rFonts w:cs="Andalus"/>
              </w:rPr>
              <w:t xml:space="preserve">                </w:t>
            </w:r>
            <w:r w:rsidRPr="00215EC2">
              <w:rPr>
                <w:rFonts w:cs="Andalus"/>
              </w:rPr>
              <w:t>vulnerable child are met and</w:t>
            </w:r>
            <w:r>
              <w:rPr>
                <w:rFonts w:cs="Andalus"/>
                <w:b/>
              </w:rPr>
              <w:t xml:space="preserve"> </w:t>
            </w:r>
            <w:r>
              <w:rPr>
                <w:rFonts w:cs="Andalus"/>
              </w:rPr>
              <w:t>that the additional funding is used to address the challenges they face.</w:t>
            </w:r>
            <w:r w:rsidRPr="00215EC2">
              <w:rPr>
                <w:rFonts w:cs="Andalus"/>
                <w:b/>
              </w:rPr>
              <w:t xml:space="preserve"> </w:t>
            </w:r>
            <w:r w:rsidRPr="00215EC2">
              <w:rPr>
                <w:rFonts w:cs="Andalus"/>
              </w:rPr>
              <w:t>As a result of the additional funding, these children will make progress within</w:t>
            </w:r>
            <w:r>
              <w:rPr>
                <w:rFonts w:cs="Andalus"/>
              </w:rPr>
              <w:t xml:space="preserve"> Age Related Expectations (ARE), </w:t>
            </w:r>
            <w:r w:rsidRPr="00215EC2">
              <w:rPr>
                <w:rFonts w:cs="Andalus"/>
              </w:rPr>
              <w:t>diminish</w:t>
            </w:r>
            <w:r>
              <w:rPr>
                <w:rFonts w:cs="Andalus"/>
              </w:rPr>
              <w:t>ing</w:t>
            </w:r>
            <w:r w:rsidRPr="00215EC2">
              <w:rPr>
                <w:rFonts w:cs="Andalus"/>
              </w:rPr>
              <w:t xml:space="preserve"> the difference</w:t>
            </w:r>
            <w:r>
              <w:rPr>
                <w:rFonts w:cs="Andalus"/>
              </w:rPr>
              <w:t xml:space="preserve"> between our vulnerable and non-vulnerable children</w:t>
            </w:r>
            <w:r w:rsidRPr="00215EC2">
              <w:rPr>
                <w:rFonts w:cs="Andalus"/>
              </w:rPr>
              <w:t>.</w:t>
            </w:r>
            <w:r>
              <w:rPr>
                <w:rFonts w:cs="Andalus"/>
              </w:rPr>
              <w:t xml:space="preserve"> Central to this must be the effectiveness of quality teaching for all children.</w:t>
            </w:r>
          </w:p>
          <w:p w14:paraId="5E674A55" w14:textId="77777777" w:rsidR="00B033C3" w:rsidRDefault="00B033C3" w:rsidP="00B033C3">
            <w:pPr>
              <w:widowControl w:val="0"/>
              <w:autoSpaceDE w:val="0"/>
              <w:adjustRightInd w:val="0"/>
              <w:rPr>
                <w:rFonts w:cs="Andalus"/>
                <w:b/>
                <w:u w:val="single"/>
              </w:rPr>
            </w:pPr>
            <w:r>
              <w:rPr>
                <w:rFonts w:cs="Andalus"/>
                <w:b/>
                <w:u w:val="single"/>
              </w:rPr>
              <w:t>Quality Teaching:</w:t>
            </w:r>
          </w:p>
          <w:p w14:paraId="3B9B909F" w14:textId="77777777" w:rsidR="00B033C3" w:rsidRDefault="00B033C3" w:rsidP="00B033C3">
            <w:pPr>
              <w:widowControl w:val="0"/>
              <w:numPr>
                <w:ilvl w:val="0"/>
                <w:numId w:val="19"/>
              </w:numPr>
              <w:autoSpaceDE w:val="0"/>
              <w:adjustRightInd w:val="0"/>
              <w:rPr>
                <w:rFonts w:cs="Andalus"/>
              </w:rPr>
            </w:pPr>
            <w:r>
              <w:rPr>
                <w:rFonts w:cs="Andalus"/>
              </w:rPr>
              <w:t xml:space="preserve">Any pupils who are falling below </w:t>
            </w:r>
            <w:proofErr w:type="gramStart"/>
            <w:r>
              <w:rPr>
                <w:rFonts w:cs="Andalus"/>
              </w:rPr>
              <w:t>Age Related</w:t>
            </w:r>
            <w:proofErr w:type="gramEnd"/>
            <w:r>
              <w:rPr>
                <w:rFonts w:cs="Andalus"/>
              </w:rPr>
              <w:t xml:space="preserve"> Expectations (ARE) in line with            predicted performance indicators and grade boundaries will be monitored by class teachers and the inclusion team, and appropriate interventions put in place;</w:t>
            </w:r>
          </w:p>
          <w:p w14:paraId="5A07F342" w14:textId="77777777" w:rsidR="00B033C3" w:rsidRDefault="00B033C3" w:rsidP="00B033C3">
            <w:pPr>
              <w:widowControl w:val="0"/>
              <w:numPr>
                <w:ilvl w:val="0"/>
                <w:numId w:val="19"/>
              </w:numPr>
              <w:autoSpaceDE w:val="0"/>
              <w:adjustRightInd w:val="0"/>
              <w:rPr>
                <w:rFonts w:cs="Andalus"/>
              </w:rPr>
            </w:pPr>
            <w:r>
              <w:rPr>
                <w:rFonts w:cs="Andalus"/>
              </w:rPr>
              <w:t xml:space="preserve">If a pupil has been identified as underachieving, or possibly having special         educational </w:t>
            </w:r>
            <w:proofErr w:type="gramStart"/>
            <w:r>
              <w:rPr>
                <w:rFonts w:cs="Andalus"/>
              </w:rPr>
              <w:t>needs,  they</w:t>
            </w:r>
            <w:proofErr w:type="gramEnd"/>
            <w:r>
              <w:rPr>
                <w:rFonts w:cs="Andalus"/>
              </w:rPr>
              <w:t xml:space="preserve"> will be closely monitored by teaching staff in order to </w:t>
            </w:r>
            <w:r>
              <w:rPr>
                <w:rFonts w:cs="Andalus"/>
              </w:rPr>
              <w:lastRenderedPageBreak/>
              <w:t>gauge their level of learning and possible difficulties;</w:t>
            </w:r>
          </w:p>
          <w:p w14:paraId="7E0C2076" w14:textId="77777777" w:rsidR="00B033C3" w:rsidRDefault="00B033C3" w:rsidP="00B033C3">
            <w:pPr>
              <w:widowControl w:val="0"/>
              <w:numPr>
                <w:ilvl w:val="0"/>
                <w:numId w:val="19"/>
              </w:numPr>
              <w:autoSpaceDE w:val="0"/>
              <w:adjustRightInd w:val="0"/>
              <w:rPr>
                <w:rFonts w:cs="Andalus"/>
              </w:rPr>
            </w:pPr>
            <w:r>
              <w:rPr>
                <w:rFonts w:cs="Andalus"/>
              </w:rPr>
              <w:t>All adults working with vulnerable children will take steps to provide differentiated learning opportunities that will aid the pupil’s academic progression and enable the teacher to better understand the provision and teaching style that needs to be    applied. Interventions will be monitored, progress assessed and adjustments to differentiation made where necessary;</w:t>
            </w:r>
          </w:p>
          <w:p w14:paraId="324647E1" w14:textId="77777777" w:rsidR="00B033C3" w:rsidRDefault="00B033C3" w:rsidP="00B033C3">
            <w:pPr>
              <w:widowControl w:val="0"/>
              <w:numPr>
                <w:ilvl w:val="0"/>
                <w:numId w:val="19"/>
              </w:numPr>
              <w:autoSpaceDE w:val="0"/>
              <w:adjustRightInd w:val="0"/>
              <w:rPr>
                <w:rFonts w:cs="Andalus"/>
              </w:rPr>
            </w:pPr>
            <w:r>
              <w:rPr>
                <w:rFonts w:cs="Andalus"/>
              </w:rPr>
              <w:t>The Inclusion Team will be consulted as needed for support and advice and may wish to observe the pupil in class;</w:t>
            </w:r>
          </w:p>
          <w:p w14:paraId="4D4043B3" w14:textId="77777777" w:rsidR="00B033C3" w:rsidRDefault="00B033C3" w:rsidP="00B033C3">
            <w:pPr>
              <w:widowControl w:val="0"/>
              <w:numPr>
                <w:ilvl w:val="0"/>
                <w:numId w:val="19"/>
              </w:numPr>
              <w:autoSpaceDE w:val="0"/>
              <w:adjustRightInd w:val="0"/>
              <w:rPr>
                <w:rFonts w:cs="Andalus"/>
              </w:rPr>
            </w:pPr>
            <w:r>
              <w:rPr>
                <w:rFonts w:cs="Andalus"/>
              </w:rPr>
              <w:t>Through (II) and (IV) it can be determined which type of provision the child will need going forward;</w:t>
            </w:r>
          </w:p>
          <w:p w14:paraId="35721660" w14:textId="0C4326BF" w:rsidR="00B033C3" w:rsidRDefault="00B033C3" w:rsidP="00B033C3">
            <w:pPr>
              <w:widowControl w:val="0"/>
              <w:numPr>
                <w:ilvl w:val="0"/>
                <w:numId w:val="19"/>
              </w:numPr>
              <w:autoSpaceDE w:val="0"/>
              <w:adjustRightInd w:val="0"/>
              <w:rPr>
                <w:rFonts w:cs="Andalus"/>
              </w:rPr>
            </w:pPr>
            <w:r>
              <w:rPr>
                <w:rFonts w:cs="Andalus"/>
              </w:rPr>
              <w:t>Parents</w:t>
            </w:r>
            <w:r w:rsidR="00AE6F1E">
              <w:rPr>
                <w:rFonts w:cs="Andalus"/>
              </w:rPr>
              <w:t xml:space="preserve"> and carers</w:t>
            </w:r>
            <w:r>
              <w:rPr>
                <w:rFonts w:cs="Andalus"/>
              </w:rPr>
              <w:t xml:space="preserve"> will be fully informed of their child’s development and the circumstances under which they are being monitored. They are encouraged to share information and knowledge with the school.</w:t>
            </w:r>
          </w:p>
          <w:p w14:paraId="22C3F8F9" w14:textId="77777777" w:rsidR="00B033C3" w:rsidRDefault="00B033C3" w:rsidP="00B033C3">
            <w:pPr>
              <w:autoSpaceDN/>
              <w:spacing w:after="200" w:line="276" w:lineRule="auto"/>
              <w:contextualSpacing/>
              <w:jc w:val="both"/>
              <w:rPr>
                <w:rFonts w:cs="Andalus"/>
              </w:rPr>
            </w:pPr>
          </w:p>
          <w:p w14:paraId="2A7D54E9" w14:textId="19712828" w:rsidR="00B033C3" w:rsidRPr="00645FB1" w:rsidRDefault="00B033C3" w:rsidP="00B033C3">
            <w:pPr>
              <w:autoSpaceDN/>
              <w:spacing w:after="200" w:line="276" w:lineRule="auto"/>
              <w:contextualSpacing/>
              <w:jc w:val="both"/>
              <w:rPr>
                <w:rFonts w:cs="Andalus"/>
              </w:rPr>
            </w:pPr>
          </w:p>
        </w:tc>
      </w:tr>
    </w:tbl>
    <w:p w14:paraId="2A7D54EB" w14:textId="206E4B86" w:rsidR="00E66558" w:rsidRDefault="00FD711A">
      <w:pPr>
        <w:pStyle w:val="Heading2"/>
        <w:spacing w:before="600"/>
      </w:pPr>
      <w:r>
        <w:lastRenderedPageBreak/>
        <w:t>C</w:t>
      </w:r>
      <w:r w:rsidR="009D71E8">
        <w:t>hallenges</w:t>
      </w:r>
    </w:p>
    <w:p w14:paraId="2A7D54EC" w14:textId="7C02E73F" w:rsidR="00E66558" w:rsidRDefault="009D71E8">
      <w:pPr>
        <w:spacing w:before="120"/>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w:t>
      </w:r>
      <w:r w:rsidR="00FD711A">
        <w:rPr>
          <w:color w:val="auto"/>
        </w:rPr>
        <w:t xml:space="preserve">        </w:t>
      </w:r>
      <w:r>
        <w:rPr>
          <w:color w:val="auto"/>
        </w:rPr>
        <w:t>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3A70" w14:textId="0677386C" w:rsidR="008D59AE" w:rsidRPr="00484EDE" w:rsidRDefault="008D59AE" w:rsidP="008D59AE">
            <w:pPr>
              <w:pStyle w:val="TableRowCentered"/>
              <w:jc w:val="left"/>
              <w:rPr>
                <w:b/>
                <w:iCs/>
                <w:sz w:val="22"/>
              </w:rPr>
            </w:pPr>
            <w:r w:rsidRPr="00484EDE">
              <w:rPr>
                <w:b/>
                <w:iCs/>
                <w:sz w:val="22"/>
              </w:rPr>
              <w:t xml:space="preserve">Attendance and punctuality issues. </w:t>
            </w:r>
          </w:p>
          <w:p w14:paraId="05E78803" w14:textId="77777777" w:rsidR="002D77D9" w:rsidRPr="002D77D9" w:rsidRDefault="002D77D9" w:rsidP="008D59AE">
            <w:pPr>
              <w:pStyle w:val="TableRowCentered"/>
              <w:jc w:val="left"/>
              <w:rPr>
                <w:b/>
                <w:iCs/>
                <w:sz w:val="22"/>
                <w:u w:val="single"/>
              </w:rPr>
            </w:pPr>
            <w:r w:rsidRPr="002D77D9">
              <w:rPr>
                <w:b/>
                <w:iCs/>
                <w:sz w:val="22"/>
                <w:u w:val="single"/>
              </w:rPr>
              <w:t>2020-21</w:t>
            </w:r>
          </w:p>
          <w:p w14:paraId="6585B26D" w14:textId="66FCB498" w:rsidR="008D59AE" w:rsidRPr="008D59AE" w:rsidRDefault="008D59AE" w:rsidP="008D59AE">
            <w:pPr>
              <w:pStyle w:val="TableRowCentered"/>
              <w:jc w:val="left"/>
              <w:rPr>
                <w:iCs/>
                <w:sz w:val="22"/>
              </w:rPr>
            </w:pPr>
            <w:r w:rsidRPr="008D59AE">
              <w:rPr>
                <w:iCs/>
                <w:sz w:val="22"/>
              </w:rPr>
              <w:t xml:space="preserve">At the end of </w:t>
            </w:r>
            <w:r w:rsidR="002D77D9">
              <w:rPr>
                <w:iCs/>
                <w:sz w:val="22"/>
              </w:rPr>
              <w:t xml:space="preserve">this academic year </w:t>
            </w:r>
            <w:r w:rsidRPr="008D59AE">
              <w:rPr>
                <w:iCs/>
                <w:sz w:val="22"/>
              </w:rPr>
              <w:t>attendance for pupils eligible for PPG (92.7%) was 4.1% lower than all pupils (96.8%).</w:t>
            </w:r>
          </w:p>
          <w:p w14:paraId="55392D3E" w14:textId="05CA0BDF" w:rsidR="00E66558" w:rsidRDefault="008D59AE" w:rsidP="008D59AE">
            <w:pPr>
              <w:pStyle w:val="TableRowCentered"/>
              <w:jc w:val="left"/>
              <w:rPr>
                <w:iCs/>
                <w:sz w:val="22"/>
              </w:rPr>
            </w:pPr>
            <w:r w:rsidRPr="008D59AE">
              <w:rPr>
                <w:iCs/>
                <w:sz w:val="22"/>
              </w:rPr>
              <w:t>Persistent absence was 21.6% higher for disadvantaged pupils (26.5%) than for all pupils (4.9%). Our assessments and observations indicate that absenteeism is negatively impacting disadvantaged pupils’ progress.</w:t>
            </w:r>
          </w:p>
          <w:p w14:paraId="333616BF" w14:textId="77777777" w:rsidR="000224B9" w:rsidRDefault="000224B9" w:rsidP="008D59AE">
            <w:pPr>
              <w:pStyle w:val="TableRowCentered"/>
              <w:jc w:val="left"/>
              <w:rPr>
                <w:iCs/>
                <w:sz w:val="22"/>
              </w:rPr>
            </w:pPr>
          </w:p>
          <w:p w14:paraId="4826E9DF" w14:textId="1EB17269" w:rsidR="002D77D9" w:rsidRPr="002D77D9" w:rsidRDefault="002D77D9" w:rsidP="008D59AE">
            <w:pPr>
              <w:pStyle w:val="TableRowCentered"/>
              <w:jc w:val="left"/>
              <w:rPr>
                <w:b/>
                <w:iCs/>
                <w:color w:val="4F81BD" w:themeColor="accent1"/>
                <w:sz w:val="22"/>
                <w:u w:val="single"/>
              </w:rPr>
            </w:pPr>
            <w:r w:rsidRPr="002D77D9">
              <w:rPr>
                <w:b/>
                <w:iCs/>
                <w:color w:val="4F81BD" w:themeColor="accent1"/>
                <w:sz w:val="22"/>
                <w:u w:val="single"/>
              </w:rPr>
              <w:t>2021-22</w:t>
            </w:r>
          </w:p>
          <w:p w14:paraId="0DC92371" w14:textId="7B8DB1B1" w:rsidR="000224B9" w:rsidRPr="0092054A" w:rsidRDefault="000224B9" w:rsidP="000224B9">
            <w:pPr>
              <w:pStyle w:val="TableRowCentered"/>
              <w:jc w:val="left"/>
              <w:rPr>
                <w:iCs/>
                <w:color w:val="4F81BD" w:themeColor="accent1"/>
                <w:sz w:val="22"/>
              </w:rPr>
            </w:pPr>
            <w:r w:rsidRPr="0092054A">
              <w:rPr>
                <w:iCs/>
                <w:color w:val="4F81BD" w:themeColor="accent1"/>
                <w:sz w:val="22"/>
              </w:rPr>
              <w:t xml:space="preserve">Most recent results for Attendance – </w:t>
            </w:r>
          </w:p>
          <w:p w14:paraId="0C2A717E" w14:textId="6FE239E1" w:rsidR="000224B9" w:rsidRPr="0092054A" w:rsidRDefault="000224B9" w:rsidP="000224B9">
            <w:pPr>
              <w:pStyle w:val="TableRowCentered"/>
              <w:jc w:val="left"/>
              <w:rPr>
                <w:iCs/>
                <w:color w:val="4F81BD" w:themeColor="accent1"/>
                <w:sz w:val="22"/>
              </w:rPr>
            </w:pPr>
            <w:r w:rsidRPr="0092054A">
              <w:rPr>
                <w:iCs/>
                <w:color w:val="4F81BD" w:themeColor="accent1"/>
                <w:sz w:val="22"/>
              </w:rPr>
              <w:t xml:space="preserve">all pupils </w:t>
            </w:r>
            <w:r w:rsidR="0092054A" w:rsidRPr="0092054A">
              <w:rPr>
                <w:iCs/>
                <w:color w:val="4F81BD" w:themeColor="accent1"/>
                <w:sz w:val="22"/>
              </w:rPr>
              <w:t>–</w:t>
            </w:r>
            <w:r w:rsidRPr="0092054A">
              <w:rPr>
                <w:iCs/>
                <w:color w:val="4F81BD" w:themeColor="accent1"/>
                <w:sz w:val="22"/>
              </w:rPr>
              <w:t xml:space="preserve"> </w:t>
            </w:r>
            <w:r w:rsidR="0092054A" w:rsidRPr="0092054A">
              <w:rPr>
                <w:iCs/>
                <w:color w:val="4F81BD" w:themeColor="accent1"/>
                <w:sz w:val="22"/>
              </w:rPr>
              <w:t>92.8</w:t>
            </w:r>
            <w:r w:rsidRPr="0092054A">
              <w:rPr>
                <w:iCs/>
                <w:color w:val="4F81BD" w:themeColor="accent1"/>
                <w:sz w:val="22"/>
              </w:rPr>
              <w:t xml:space="preserve">% </w:t>
            </w:r>
          </w:p>
          <w:p w14:paraId="4BBD4551" w14:textId="666ABBFE" w:rsidR="000224B9" w:rsidRPr="0092054A" w:rsidRDefault="000224B9" w:rsidP="000224B9">
            <w:pPr>
              <w:pStyle w:val="TableRowCentered"/>
              <w:jc w:val="left"/>
              <w:rPr>
                <w:iCs/>
                <w:color w:val="4F81BD" w:themeColor="accent1"/>
                <w:sz w:val="22"/>
              </w:rPr>
            </w:pPr>
            <w:r w:rsidRPr="0092054A">
              <w:rPr>
                <w:iCs/>
                <w:color w:val="4F81BD" w:themeColor="accent1"/>
                <w:sz w:val="22"/>
              </w:rPr>
              <w:t xml:space="preserve">PPG pupils </w:t>
            </w:r>
            <w:r w:rsidR="0092054A" w:rsidRPr="0092054A">
              <w:rPr>
                <w:iCs/>
                <w:color w:val="4F81BD" w:themeColor="accent1"/>
                <w:sz w:val="22"/>
              </w:rPr>
              <w:t>–</w:t>
            </w:r>
            <w:r w:rsidRPr="0092054A">
              <w:rPr>
                <w:iCs/>
                <w:color w:val="4F81BD" w:themeColor="accent1"/>
                <w:sz w:val="22"/>
              </w:rPr>
              <w:t xml:space="preserve"> </w:t>
            </w:r>
            <w:r w:rsidR="0092054A" w:rsidRPr="0092054A">
              <w:rPr>
                <w:iCs/>
                <w:color w:val="4F81BD" w:themeColor="accent1"/>
                <w:sz w:val="22"/>
              </w:rPr>
              <w:t>88.9</w:t>
            </w:r>
            <w:r w:rsidRPr="0092054A">
              <w:rPr>
                <w:iCs/>
                <w:color w:val="4F81BD" w:themeColor="accent1"/>
                <w:sz w:val="22"/>
              </w:rPr>
              <w:t>%.</w:t>
            </w:r>
          </w:p>
          <w:p w14:paraId="0F599FE6" w14:textId="77777777" w:rsidR="000224B9" w:rsidRPr="0092054A" w:rsidRDefault="000224B9" w:rsidP="000224B9">
            <w:pPr>
              <w:pStyle w:val="TableRowCentered"/>
              <w:jc w:val="left"/>
              <w:rPr>
                <w:iCs/>
                <w:color w:val="4F81BD" w:themeColor="accent1"/>
                <w:sz w:val="22"/>
              </w:rPr>
            </w:pPr>
            <w:r w:rsidRPr="0092054A">
              <w:rPr>
                <w:iCs/>
                <w:color w:val="4F81BD" w:themeColor="accent1"/>
                <w:sz w:val="22"/>
              </w:rPr>
              <w:t>Most recent results for Persistently Absent (PA – less than 90% attendance) –</w:t>
            </w:r>
          </w:p>
          <w:p w14:paraId="6BB5F49B" w14:textId="26323B33" w:rsidR="000224B9" w:rsidRPr="0092054A" w:rsidRDefault="000224B9" w:rsidP="000224B9">
            <w:pPr>
              <w:pStyle w:val="TableRowCentered"/>
              <w:jc w:val="left"/>
              <w:rPr>
                <w:iCs/>
                <w:color w:val="4F81BD" w:themeColor="accent1"/>
                <w:sz w:val="22"/>
              </w:rPr>
            </w:pPr>
            <w:r w:rsidRPr="0092054A">
              <w:rPr>
                <w:iCs/>
                <w:color w:val="4F81BD" w:themeColor="accent1"/>
                <w:sz w:val="22"/>
              </w:rPr>
              <w:t xml:space="preserve">all pupils - </w:t>
            </w:r>
            <w:r w:rsidR="0092054A" w:rsidRPr="0092054A">
              <w:rPr>
                <w:iCs/>
                <w:color w:val="4F81BD" w:themeColor="accent1"/>
                <w:sz w:val="22"/>
              </w:rPr>
              <w:t>27</w:t>
            </w:r>
            <w:r w:rsidRPr="0092054A">
              <w:rPr>
                <w:iCs/>
                <w:color w:val="4F81BD" w:themeColor="accent1"/>
                <w:sz w:val="22"/>
              </w:rPr>
              <w:t xml:space="preserve">% </w:t>
            </w:r>
          </w:p>
          <w:p w14:paraId="3E75CAA8" w14:textId="18BB802D" w:rsidR="000224B9" w:rsidRPr="0092054A" w:rsidRDefault="000224B9" w:rsidP="000224B9">
            <w:pPr>
              <w:pStyle w:val="TableRowCentered"/>
              <w:jc w:val="left"/>
              <w:rPr>
                <w:iCs/>
                <w:color w:val="4F81BD" w:themeColor="accent1"/>
                <w:sz w:val="22"/>
              </w:rPr>
            </w:pPr>
            <w:r w:rsidRPr="0092054A">
              <w:rPr>
                <w:iCs/>
                <w:color w:val="4F81BD" w:themeColor="accent1"/>
                <w:sz w:val="22"/>
              </w:rPr>
              <w:t xml:space="preserve">PPG pupils </w:t>
            </w:r>
            <w:r w:rsidR="0092054A" w:rsidRPr="0092054A">
              <w:rPr>
                <w:iCs/>
                <w:color w:val="4F81BD" w:themeColor="accent1"/>
                <w:sz w:val="22"/>
              </w:rPr>
              <w:t>–</w:t>
            </w:r>
            <w:r w:rsidRPr="0092054A">
              <w:rPr>
                <w:iCs/>
                <w:color w:val="4F81BD" w:themeColor="accent1"/>
                <w:sz w:val="22"/>
              </w:rPr>
              <w:t xml:space="preserve"> </w:t>
            </w:r>
            <w:r w:rsidR="0092054A" w:rsidRPr="0092054A">
              <w:rPr>
                <w:iCs/>
                <w:color w:val="4F81BD" w:themeColor="accent1"/>
                <w:sz w:val="22"/>
              </w:rPr>
              <w:t>41.3%</w:t>
            </w:r>
          </w:p>
          <w:p w14:paraId="117572DF" w14:textId="430419AB" w:rsidR="000224B9" w:rsidRPr="0092054A" w:rsidRDefault="000224B9" w:rsidP="000224B9">
            <w:pPr>
              <w:pStyle w:val="TableRowCentered"/>
              <w:jc w:val="left"/>
              <w:rPr>
                <w:iCs/>
                <w:color w:val="4F81BD" w:themeColor="accent1"/>
                <w:sz w:val="22"/>
              </w:rPr>
            </w:pPr>
          </w:p>
          <w:p w14:paraId="651A79DD" w14:textId="037730D9" w:rsidR="000224B9" w:rsidRPr="0092054A" w:rsidRDefault="00AE6F1E" w:rsidP="002D77D9">
            <w:pPr>
              <w:pStyle w:val="TableRowCentered"/>
              <w:jc w:val="left"/>
              <w:rPr>
                <w:iCs/>
                <w:color w:val="4F81BD" w:themeColor="accent1"/>
                <w:sz w:val="22"/>
              </w:rPr>
            </w:pPr>
            <w:r w:rsidRPr="0092054A">
              <w:rPr>
                <w:iCs/>
                <w:color w:val="4F81BD" w:themeColor="accent1"/>
                <w:sz w:val="22"/>
              </w:rPr>
              <w:t xml:space="preserve">Our assessments and observations indicate that </w:t>
            </w:r>
            <w:r w:rsidR="0092054A" w:rsidRPr="0092054A">
              <w:rPr>
                <w:iCs/>
                <w:color w:val="4F81BD" w:themeColor="accent1"/>
                <w:sz w:val="22"/>
              </w:rPr>
              <w:t>whilst the gap in attendance between PP and all pupils has narrowed (-4.1% in 20-21 and now -2.9% in 21-22) the overall percentage has dropped significantly.</w:t>
            </w:r>
          </w:p>
          <w:p w14:paraId="0E99A64A" w14:textId="0E52FC5F" w:rsidR="0092054A" w:rsidRPr="0092054A" w:rsidRDefault="0092054A" w:rsidP="002D77D9">
            <w:pPr>
              <w:pStyle w:val="TableRowCentered"/>
              <w:jc w:val="left"/>
              <w:rPr>
                <w:iCs/>
                <w:color w:val="4F81BD" w:themeColor="accent1"/>
                <w:sz w:val="22"/>
              </w:rPr>
            </w:pPr>
            <w:r w:rsidRPr="0092054A">
              <w:rPr>
                <w:iCs/>
                <w:color w:val="4F81BD" w:themeColor="accent1"/>
                <w:sz w:val="22"/>
              </w:rPr>
              <w:t>The number of PA children has risen dramatically with over 40% of PPG pupils PA (compared to 26.5% the year before).</w:t>
            </w:r>
          </w:p>
          <w:p w14:paraId="2A7D54F1" w14:textId="5FC0E965" w:rsidR="00AE6F1E" w:rsidRPr="00AE6F1E" w:rsidRDefault="002D77D9" w:rsidP="002D77D9">
            <w:pPr>
              <w:pStyle w:val="TableRowCentered"/>
              <w:jc w:val="left"/>
              <w:rPr>
                <w:iCs/>
                <w:color w:val="4F81BD" w:themeColor="accent1"/>
                <w:sz w:val="22"/>
              </w:rPr>
            </w:pPr>
            <w:r w:rsidRPr="0092054A">
              <w:rPr>
                <w:iCs/>
                <w:color w:val="4F81BD" w:themeColor="accent1"/>
                <w:sz w:val="22"/>
              </w:rPr>
              <w:t xml:space="preserve">Priorities for this year include </w:t>
            </w:r>
            <w:r w:rsidR="0092054A" w:rsidRPr="0092054A">
              <w:rPr>
                <w:iCs/>
                <w:color w:val="4F81BD" w:themeColor="accent1"/>
                <w:sz w:val="22"/>
              </w:rPr>
              <w:t>working more closely with PA children, tracking them and breaking down the barriers to their good attendance.</w:t>
            </w:r>
          </w:p>
        </w:tc>
      </w:tr>
      <w:tr w:rsidR="00DF1C6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DF1C6E" w:rsidRDefault="00DF1C6E" w:rsidP="00DF1C6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D40C" w14:textId="0A5D445C" w:rsidR="00DF1C6E" w:rsidRDefault="008363A9" w:rsidP="008363A9">
            <w:pPr>
              <w:pStyle w:val="TableRowCentered"/>
              <w:jc w:val="left"/>
              <w:rPr>
                <w:b/>
                <w:iCs/>
                <w:sz w:val="22"/>
              </w:rPr>
            </w:pPr>
            <w:r w:rsidRPr="00484EDE">
              <w:rPr>
                <w:b/>
                <w:iCs/>
                <w:sz w:val="22"/>
              </w:rPr>
              <w:t>Phonics</w:t>
            </w:r>
          </w:p>
          <w:p w14:paraId="37142BCE" w14:textId="167C31A9" w:rsidR="002D77D9" w:rsidRPr="00484EDE" w:rsidRDefault="002D77D9" w:rsidP="008363A9">
            <w:pPr>
              <w:pStyle w:val="TableRowCentered"/>
              <w:jc w:val="left"/>
              <w:rPr>
                <w:b/>
                <w:iCs/>
                <w:sz w:val="22"/>
              </w:rPr>
            </w:pPr>
            <w:r>
              <w:rPr>
                <w:b/>
                <w:iCs/>
                <w:sz w:val="22"/>
              </w:rPr>
              <w:t>2020-21</w:t>
            </w:r>
          </w:p>
          <w:p w14:paraId="099446D8" w14:textId="0B53D801" w:rsidR="00144EA7" w:rsidRDefault="00144EA7" w:rsidP="008363A9">
            <w:pPr>
              <w:pStyle w:val="TableRowCentered"/>
              <w:jc w:val="left"/>
              <w:rPr>
                <w:iCs/>
                <w:sz w:val="22"/>
              </w:rPr>
            </w:pPr>
            <w:r w:rsidRPr="00144EA7">
              <w:rPr>
                <w:iCs/>
                <w:sz w:val="22"/>
              </w:rPr>
              <w:lastRenderedPageBreak/>
              <w:t>Impact of two years of school closures and disrupted learning, especially on our youngest learners and our disadvantaged pupils. Most recent results for Phonics Check showed all pupils reaching 47.3% and disadvantage</w:t>
            </w:r>
            <w:r w:rsidR="006952B6">
              <w:rPr>
                <w:iCs/>
                <w:sz w:val="22"/>
              </w:rPr>
              <w:t>d</w:t>
            </w:r>
            <w:r w:rsidRPr="00144EA7">
              <w:rPr>
                <w:iCs/>
                <w:sz w:val="22"/>
              </w:rPr>
              <w:t xml:space="preserve"> children reaching 20%.</w:t>
            </w:r>
          </w:p>
          <w:p w14:paraId="2A9264DF" w14:textId="6CA413FC" w:rsidR="000224B9" w:rsidRDefault="000224B9" w:rsidP="008363A9">
            <w:pPr>
              <w:pStyle w:val="TableRowCentered"/>
              <w:jc w:val="left"/>
              <w:rPr>
                <w:iCs/>
                <w:sz w:val="22"/>
              </w:rPr>
            </w:pPr>
          </w:p>
          <w:p w14:paraId="6D9FA4E7" w14:textId="77777777" w:rsidR="000224B9" w:rsidRDefault="000224B9" w:rsidP="008363A9">
            <w:pPr>
              <w:pStyle w:val="TableRowCentered"/>
              <w:jc w:val="left"/>
              <w:rPr>
                <w:iCs/>
                <w:sz w:val="22"/>
              </w:rPr>
            </w:pPr>
          </w:p>
          <w:p w14:paraId="35891A63" w14:textId="198B765E" w:rsidR="002D77D9" w:rsidRPr="002D77D9" w:rsidRDefault="002D77D9" w:rsidP="008363A9">
            <w:pPr>
              <w:pStyle w:val="TableRowCentered"/>
              <w:jc w:val="left"/>
              <w:rPr>
                <w:b/>
                <w:iCs/>
                <w:color w:val="4F81BD" w:themeColor="accent1"/>
                <w:sz w:val="22"/>
                <w:highlight w:val="yellow"/>
                <w:u w:val="single"/>
              </w:rPr>
            </w:pPr>
            <w:r w:rsidRPr="002D77D9">
              <w:rPr>
                <w:b/>
                <w:iCs/>
                <w:color w:val="4F81BD" w:themeColor="accent1"/>
                <w:sz w:val="22"/>
                <w:u w:val="single"/>
              </w:rPr>
              <w:t>2021-22</w:t>
            </w:r>
          </w:p>
          <w:p w14:paraId="57B21775" w14:textId="0E30D6B3" w:rsidR="000224B9" w:rsidRPr="007718B2" w:rsidRDefault="00AE6F1E" w:rsidP="000224B9">
            <w:pPr>
              <w:pStyle w:val="TableRowCentered"/>
              <w:jc w:val="left"/>
              <w:rPr>
                <w:iCs/>
                <w:color w:val="4F81BD" w:themeColor="accent1"/>
                <w:sz w:val="22"/>
              </w:rPr>
            </w:pPr>
            <w:r w:rsidRPr="007718B2">
              <w:rPr>
                <w:iCs/>
                <w:color w:val="4F81BD" w:themeColor="accent1"/>
                <w:sz w:val="22"/>
              </w:rPr>
              <w:t xml:space="preserve">Most </w:t>
            </w:r>
            <w:r w:rsidR="000224B9" w:rsidRPr="007718B2">
              <w:rPr>
                <w:iCs/>
                <w:color w:val="4F81BD" w:themeColor="accent1"/>
                <w:sz w:val="22"/>
              </w:rPr>
              <w:t xml:space="preserve">recent </w:t>
            </w:r>
            <w:r w:rsidR="00BB6DD8" w:rsidRPr="007718B2">
              <w:rPr>
                <w:iCs/>
                <w:color w:val="4F81BD" w:themeColor="accent1"/>
                <w:sz w:val="22"/>
              </w:rPr>
              <w:t>results for Phonics Check</w:t>
            </w:r>
            <w:r w:rsidR="000224B9" w:rsidRPr="007718B2">
              <w:rPr>
                <w:iCs/>
                <w:color w:val="4F81BD" w:themeColor="accent1"/>
                <w:sz w:val="22"/>
              </w:rPr>
              <w:t xml:space="preserve"> –</w:t>
            </w:r>
            <w:r w:rsidR="00BB6DD8" w:rsidRPr="007718B2">
              <w:rPr>
                <w:iCs/>
                <w:color w:val="4F81BD" w:themeColor="accent1"/>
                <w:sz w:val="22"/>
              </w:rPr>
              <w:t xml:space="preserve"> </w:t>
            </w:r>
          </w:p>
          <w:p w14:paraId="1A3AE412" w14:textId="7ECDC985" w:rsidR="000224B9" w:rsidRPr="007718B2" w:rsidRDefault="00BB6DD8" w:rsidP="000224B9">
            <w:pPr>
              <w:pStyle w:val="TableRowCentered"/>
              <w:jc w:val="left"/>
              <w:rPr>
                <w:iCs/>
                <w:color w:val="4F81BD" w:themeColor="accent1"/>
                <w:sz w:val="22"/>
              </w:rPr>
            </w:pPr>
            <w:r w:rsidRPr="007718B2">
              <w:rPr>
                <w:iCs/>
                <w:color w:val="4F81BD" w:themeColor="accent1"/>
                <w:sz w:val="22"/>
              </w:rPr>
              <w:t xml:space="preserve">all pupils </w:t>
            </w:r>
            <w:r w:rsidR="000224B9" w:rsidRPr="007718B2">
              <w:rPr>
                <w:iCs/>
                <w:color w:val="4F81BD" w:themeColor="accent1"/>
                <w:sz w:val="22"/>
              </w:rPr>
              <w:t xml:space="preserve">- </w:t>
            </w:r>
            <w:r w:rsidR="007718B2" w:rsidRPr="007718B2">
              <w:rPr>
                <w:iCs/>
                <w:color w:val="4F81BD" w:themeColor="accent1"/>
                <w:sz w:val="22"/>
              </w:rPr>
              <w:t>72</w:t>
            </w:r>
            <w:r w:rsidRPr="007718B2">
              <w:rPr>
                <w:iCs/>
                <w:color w:val="4F81BD" w:themeColor="accent1"/>
                <w:sz w:val="22"/>
              </w:rPr>
              <w:t xml:space="preserve">% </w:t>
            </w:r>
          </w:p>
          <w:p w14:paraId="35FE1881" w14:textId="77777777" w:rsidR="00AE6F1E" w:rsidRDefault="000224B9" w:rsidP="000224B9">
            <w:pPr>
              <w:pStyle w:val="TableRowCentered"/>
              <w:jc w:val="left"/>
              <w:rPr>
                <w:iCs/>
                <w:color w:val="4F81BD" w:themeColor="accent1"/>
                <w:sz w:val="22"/>
              </w:rPr>
            </w:pPr>
            <w:r w:rsidRPr="007718B2">
              <w:rPr>
                <w:iCs/>
                <w:color w:val="4F81BD" w:themeColor="accent1"/>
                <w:sz w:val="22"/>
              </w:rPr>
              <w:t xml:space="preserve">PPG pupils - </w:t>
            </w:r>
            <w:r w:rsidR="007718B2" w:rsidRPr="007718B2">
              <w:rPr>
                <w:iCs/>
                <w:color w:val="4F81BD" w:themeColor="accent1"/>
                <w:sz w:val="22"/>
              </w:rPr>
              <w:t>82%</w:t>
            </w:r>
          </w:p>
          <w:p w14:paraId="2A7D54F4" w14:textId="6C415EE8" w:rsidR="007718B2" w:rsidRPr="009C6E75" w:rsidRDefault="007718B2" w:rsidP="007718B2">
            <w:pPr>
              <w:pStyle w:val="TableRowCentered"/>
              <w:jc w:val="left"/>
              <w:rPr>
                <w:iCs/>
                <w:sz w:val="22"/>
              </w:rPr>
            </w:pPr>
            <w:r>
              <w:rPr>
                <w:iCs/>
                <w:color w:val="4F81BD" w:themeColor="accent1"/>
                <w:sz w:val="22"/>
              </w:rPr>
              <w:t>Excellent outcomes for PPG pupils showing positive impact of all the consistent hard work from all stakeholders.</w:t>
            </w:r>
          </w:p>
        </w:tc>
      </w:tr>
      <w:tr w:rsidR="008363A9" w14:paraId="54FDF8A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7328" w14:textId="24ACE9B9" w:rsidR="008363A9" w:rsidRDefault="001A4ED3" w:rsidP="00DF1C6E">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71BDA" w14:textId="77777777" w:rsidR="008363A9" w:rsidRPr="00484EDE" w:rsidRDefault="008363A9" w:rsidP="00DF1C6E">
            <w:pPr>
              <w:pStyle w:val="TableRowCentered"/>
              <w:jc w:val="left"/>
              <w:rPr>
                <w:b/>
                <w:iCs/>
                <w:sz w:val="22"/>
              </w:rPr>
            </w:pPr>
            <w:r w:rsidRPr="00484EDE">
              <w:rPr>
                <w:b/>
                <w:iCs/>
                <w:sz w:val="22"/>
              </w:rPr>
              <w:t>Reading</w:t>
            </w:r>
          </w:p>
          <w:p w14:paraId="4A1E1641" w14:textId="7AB993D2" w:rsidR="002D77D9" w:rsidRPr="002D77D9" w:rsidRDefault="002D77D9" w:rsidP="002D77D9">
            <w:pPr>
              <w:pStyle w:val="TableRowCentered"/>
              <w:jc w:val="left"/>
              <w:rPr>
                <w:b/>
                <w:iCs/>
                <w:sz w:val="22"/>
              </w:rPr>
            </w:pPr>
            <w:r>
              <w:rPr>
                <w:b/>
                <w:iCs/>
                <w:sz w:val="22"/>
              </w:rPr>
              <w:t>2020-21</w:t>
            </w:r>
          </w:p>
          <w:p w14:paraId="427C7143" w14:textId="55CD901A" w:rsidR="001A4ED3" w:rsidRDefault="001A4ED3" w:rsidP="001A4ED3">
            <w:pPr>
              <w:pStyle w:val="TableRowCentered"/>
              <w:ind w:left="0"/>
              <w:contextualSpacing/>
              <w:jc w:val="left"/>
              <w:rPr>
                <w:sz w:val="22"/>
                <w:szCs w:val="22"/>
              </w:rPr>
            </w:pPr>
            <w:r>
              <w:rPr>
                <w:sz w:val="22"/>
                <w:szCs w:val="22"/>
              </w:rPr>
              <w:t xml:space="preserve">Assessments, observations and discussions with pupils suggest poorer reading skills including fluency and comprehension, linked to lower enthusiasm and love of reading. In </w:t>
            </w:r>
            <w:proofErr w:type="gramStart"/>
            <w:r>
              <w:rPr>
                <w:sz w:val="22"/>
                <w:szCs w:val="22"/>
              </w:rPr>
              <w:t>general</w:t>
            </w:r>
            <w:proofErr w:type="gramEnd"/>
            <w:r>
              <w:rPr>
                <w:sz w:val="22"/>
                <w:szCs w:val="22"/>
              </w:rPr>
              <w:t xml:space="preserve"> these issues are more prevalent among our disadvantaged pupils than their peers. </w:t>
            </w:r>
          </w:p>
          <w:p w14:paraId="3B11E39E" w14:textId="601F4812" w:rsidR="001A4ED3" w:rsidRDefault="001A4ED3" w:rsidP="001A4ED3">
            <w:pPr>
              <w:pStyle w:val="TableRowCentered"/>
              <w:ind w:left="0"/>
              <w:contextualSpacing/>
              <w:jc w:val="left"/>
              <w:rPr>
                <w:sz w:val="22"/>
                <w:szCs w:val="22"/>
              </w:rPr>
            </w:pPr>
            <w:r>
              <w:rPr>
                <w:sz w:val="22"/>
                <w:szCs w:val="22"/>
              </w:rPr>
              <w:t xml:space="preserve">Disadvantaged pupils had poorer outcomes (attainment gap </w:t>
            </w:r>
            <w:r w:rsidRPr="008072CA">
              <w:rPr>
                <w:sz w:val="22"/>
                <w:szCs w:val="22"/>
              </w:rPr>
              <w:t xml:space="preserve">of </w:t>
            </w:r>
            <w:r w:rsidR="008072CA" w:rsidRPr="008072CA">
              <w:rPr>
                <w:sz w:val="22"/>
                <w:szCs w:val="22"/>
              </w:rPr>
              <w:t>21%</w:t>
            </w:r>
            <w:r w:rsidRPr="008072CA">
              <w:rPr>
                <w:sz w:val="22"/>
                <w:szCs w:val="22"/>
              </w:rPr>
              <w:t>)</w:t>
            </w:r>
            <w:r>
              <w:rPr>
                <w:sz w:val="22"/>
                <w:szCs w:val="22"/>
              </w:rPr>
              <w:t xml:space="preserve"> th</w:t>
            </w:r>
            <w:r w:rsidR="008072CA">
              <w:rPr>
                <w:sz w:val="22"/>
                <w:szCs w:val="22"/>
              </w:rPr>
              <w:t>a</w:t>
            </w:r>
            <w:r>
              <w:rPr>
                <w:sz w:val="22"/>
                <w:szCs w:val="22"/>
              </w:rPr>
              <w:t xml:space="preserve">n their peers in reading at the end of 2021. </w:t>
            </w:r>
          </w:p>
          <w:p w14:paraId="2B1CBD99" w14:textId="77777777" w:rsidR="000224B9" w:rsidRDefault="000224B9" w:rsidP="001A4ED3">
            <w:pPr>
              <w:pStyle w:val="TableRowCentered"/>
              <w:ind w:left="0"/>
              <w:contextualSpacing/>
              <w:jc w:val="left"/>
              <w:rPr>
                <w:sz w:val="22"/>
                <w:szCs w:val="22"/>
              </w:rPr>
            </w:pPr>
          </w:p>
          <w:p w14:paraId="396ABDAC" w14:textId="77777777" w:rsidR="00BC3E19" w:rsidRPr="002D77D9" w:rsidRDefault="00BC3E19" w:rsidP="00BC3E19">
            <w:pPr>
              <w:pStyle w:val="TableRowCentered"/>
              <w:jc w:val="left"/>
              <w:rPr>
                <w:b/>
                <w:iCs/>
                <w:color w:val="4F81BD" w:themeColor="accent1"/>
                <w:sz w:val="22"/>
                <w:highlight w:val="yellow"/>
                <w:u w:val="single"/>
              </w:rPr>
            </w:pPr>
            <w:r w:rsidRPr="002D77D9">
              <w:rPr>
                <w:b/>
                <w:iCs/>
                <w:color w:val="4F81BD" w:themeColor="accent1"/>
                <w:sz w:val="22"/>
                <w:u w:val="single"/>
              </w:rPr>
              <w:t>2021-22</w:t>
            </w:r>
          </w:p>
          <w:p w14:paraId="1461D7E4" w14:textId="27DE729A" w:rsidR="001A4ED3" w:rsidRPr="007718B2" w:rsidRDefault="00BB6DD8" w:rsidP="00BC3E19">
            <w:pPr>
              <w:pStyle w:val="TableRowCentered"/>
              <w:jc w:val="left"/>
              <w:rPr>
                <w:iCs/>
                <w:color w:val="4F81BD" w:themeColor="accent1"/>
                <w:sz w:val="22"/>
              </w:rPr>
            </w:pPr>
            <w:r w:rsidRPr="007718B2">
              <w:rPr>
                <w:iCs/>
                <w:color w:val="4F81BD" w:themeColor="accent1"/>
                <w:sz w:val="22"/>
              </w:rPr>
              <w:t xml:space="preserve">Most recent results for reading are – </w:t>
            </w:r>
          </w:p>
          <w:p w14:paraId="518413A9" w14:textId="195A7A90" w:rsidR="00BB6DD8" w:rsidRPr="007718B2" w:rsidRDefault="00BB6DD8" w:rsidP="00BC3E19">
            <w:pPr>
              <w:pStyle w:val="TableRowCentered"/>
              <w:jc w:val="left"/>
              <w:rPr>
                <w:iCs/>
                <w:color w:val="4F81BD" w:themeColor="accent1"/>
                <w:sz w:val="22"/>
              </w:rPr>
            </w:pPr>
            <w:r w:rsidRPr="007718B2">
              <w:rPr>
                <w:iCs/>
                <w:color w:val="4F81BD" w:themeColor="accent1"/>
                <w:sz w:val="22"/>
              </w:rPr>
              <w:t xml:space="preserve">KS1 all pupils – </w:t>
            </w:r>
            <w:r w:rsidR="007718B2" w:rsidRPr="007718B2">
              <w:rPr>
                <w:iCs/>
                <w:color w:val="4F81BD" w:themeColor="accent1"/>
                <w:sz w:val="22"/>
              </w:rPr>
              <w:t>50%</w:t>
            </w:r>
          </w:p>
          <w:p w14:paraId="55A75A7F" w14:textId="77596661" w:rsidR="00BB6DD8" w:rsidRDefault="00BB6DD8" w:rsidP="00BC3E19">
            <w:pPr>
              <w:pStyle w:val="TableRowCentered"/>
              <w:jc w:val="left"/>
              <w:rPr>
                <w:iCs/>
                <w:color w:val="4F81BD" w:themeColor="accent1"/>
                <w:sz w:val="22"/>
              </w:rPr>
            </w:pPr>
            <w:r w:rsidRPr="007718B2">
              <w:rPr>
                <w:iCs/>
                <w:color w:val="4F81BD" w:themeColor="accent1"/>
                <w:sz w:val="22"/>
              </w:rPr>
              <w:t xml:space="preserve">KS1 PPG pupils </w:t>
            </w:r>
            <w:r w:rsidR="000224B9" w:rsidRPr="007718B2">
              <w:rPr>
                <w:iCs/>
                <w:color w:val="4F81BD" w:themeColor="accent1"/>
                <w:sz w:val="22"/>
              </w:rPr>
              <w:t>–</w:t>
            </w:r>
            <w:r w:rsidRPr="007718B2">
              <w:rPr>
                <w:iCs/>
                <w:color w:val="4F81BD" w:themeColor="accent1"/>
                <w:sz w:val="22"/>
              </w:rPr>
              <w:t xml:space="preserve"> </w:t>
            </w:r>
            <w:r w:rsidR="007718B2" w:rsidRPr="007718B2">
              <w:rPr>
                <w:iCs/>
                <w:color w:val="4F81BD" w:themeColor="accent1"/>
                <w:sz w:val="22"/>
              </w:rPr>
              <w:t>22%</w:t>
            </w:r>
          </w:p>
          <w:p w14:paraId="7F950354" w14:textId="22F47927" w:rsidR="000224B9" w:rsidRPr="000224B9" w:rsidRDefault="001174CC" w:rsidP="000224B9">
            <w:pPr>
              <w:pStyle w:val="TableRowCentered"/>
              <w:jc w:val="left"/>
              <w:rPr>
                <w:iCs/>
                <w:color w:val="4F81BD" w:themeColor="accent1"/>
                <w:sz w:val="22"/>
              </w:rPr>
            </w:pPr>
            <w:r>
              <w:rPr>
                <w:iCs/>
                <w:color w:val="4F81BD" w:themeColor="accent1"/>
                <w:sz w:val="22"/>
              </w:rPr>
              <w:t>KS2 all pupils – 72</w:t>
            </w:r>
            <w:r w:rsidR="000224B9" w:rsidRPr="000224B9">
              <w:rPr>
                <w:iCs/>
                <w:color w:val="4F81BD" w:themeColor="accent1"/>
                <w:sz w:val="22"/>
              </w:rPr>
              <w:t>%</w:t>
            </w:r>
          </w:p>
          <w:p w14:paraId="46DE2DB3" w14:textId="77777777" w:rsidR="000224B9" w:rsidRDefault="000224B9" w:rsidP="000224B9">
            <w:pPr>
              <w:pStyle w:val="TableRowCentered"/>
              <w:jc w:val="left"/>
              <w:rPr>
                <w:iCs/>
                <w:color w:val="4F81BD" w:themeColor="accent1"/>
                <w:sz w:val="22"/>
              </w:rPr>
            </w:pPr>
            <w:r w:rsidRPr="000224B9">
              <w:rPr>
                <w:iCs/>
                <w:color w:val="4F81BD" w:themeColor="accent1"/>
                <w:sz w:val="22"/>
              </w:rPr>
              <w:t>KS2 PPG pupils – 58%</w:t>
            </w:r>
          </w:p>
          <w:p w14:paraId="1153C01E" w14:textId="3B38972B" w:rsidR="007718B2" w:rsidRPr="009C6E75" w:rsidRDefault="007718B2" w:rsidP="003500E5">
            <w:pPr>
              <w:pStyle w:val="TableRowCentered"/>
              <w:jc w:val="left"/>
              <w:rPr>
                <w:iCs/>
                <w:sz w:val="22"/>
              </w:rPr>
            </w:pPr>
            <w:r>
              <w:rPr>
                <w:iCs/>
                <w:color w:val="4F81BD" w:themeColor="accent1"/>
                <w:sz w:val="22"/>
              </w:rPr>
              <w:t xml:space="preserve">Disadvantaged pupils continue to have poorer outcomes than all </w:t>
            </w:r>
            <w:r w:rsidR="003500E5">
              <w:rPr>
                <w:iCs/>
                <w:color w:val="4F81BD" w:themeColor="accent1"/>
                <w:sz w:val="22"/>
              </w:rPr>
              <w:t xml:space="preserve">pupils do </w:t>
            </w:r>
            <w:r>
              <w:rPr>
                <w:iCs/>
                <w:color w:val="4F81BD" w:themeColor="accent1"/>
                <w:sz w:val="22"/>
              </w:rPr>
              <w:t>in reading, particularly in Year 2. This cohort</w:t>
            </w:r>
            <w:r w:rsidR="003500E5">
              <w:rPr>
                <w:iCs/>
                <w:color w:val="4F81BD" w:themeColor="accent1"/>
                <w:sz w:val="22"/>
              </w:rPr>
              <w:t xml:space="preserve"> continue to have significant support and tracking in order to identify and close attainment gaps.</w:t>
            </w:r>
          </w:p>
        </w:tc>
      </w:tr>
      <w:tr w:rsidR="00DF1C6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C2DFB17" w:rsidR="00DF1C6E" w:rsidRDefault="00B033C3" w:rsidP="00DF1C6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7305" w14:textId="0CE1179D" w:rsidR="00DF1C6E" w:rsidRDefault="00DF1C6E" w:rsidP="00DF1C6E">
            <w:pPr>
              <w:pStyle w:val="TableRowCentered"/>
              <w:jc w:val="left"/>
              <w:rPr>
                <w:b/>
                <w:iCs/>
                <w:sz w:val="22"/>
              </w:rPr>
            </w:pPr>
            <w:r w:rsidRPr="00484EDE">
              <w:rPr>
                <w:b/>
                <w:iCs/>
                <w:sz w:val="22"/>
              </w:rPr>
              <w:t>Writing</w:t>
            </w:r>
          </w:p>
          <w:p w14:paraId="32538B19" w14:textId="41AA20B6" w:rsidR="002D77D9" w:rsidRPr="00484EDE" w:rsidRDefault="002D77D9" w:rsidP="002D77D9">
            <w:pPr>
              <w:pStyle w:val="TableRowCentered"/>
              <w:jc w:val="left"/>
              <w:rPr>
                <w:b/>
                <w:iCs/>
                <w:sz w:val="22"/>
              </w:rPr>
            </w:pPr>
            <w:r>
              <w:rPr>
                <w:b/>
                <w:iCs/>
                <w:sz w:val="22"/>
              </w:rPr>
              <w:t>2020-21</w:t>
            </w:r>
          </w:p>
          <w:p w14:paraId="6C83ED6E" w14:textId="20B8D333" w:rsidR="00B033C3" w:rsidRDefault="00B033C3" w:rsidP="00B033C3">
            <w:pPr>
              <w:pStyle w:val="TableRowCentered"/>
              <w:ind w:left="0"/>
              <w:contextualSpacing/>
              <w:jc w:val="left"/>
              <w:rPr>
                <w:sz w:val="22"/>
                <w:szCs w:val="22"/>
              </w:rPr>
            </w:pPr>
            <w:r>
              <w:rPr>
                <w:sz w:val="22"/>
                <w:szCs w:val="22"/>
              </w:rPr>
              <w:t xml:space="preserve">Assessments, observations and discussions with pupils suggest poorer writing skills including handwriting and presentation, linked to lower enthusiasm and love of writing. In </w:t>
            </w:r>
            <w:proofErr w:type="gramStart"/>
            <w:r>
              <w:rPr>
                <w:sz w:val="22"/>
                <w:szCs w:val="22"/>
              </w:rPr>
              <w:t>general</w:t>
            </w:r>
            <w:proofErr w:type="gramEnd"/>
            <w:r>
              <w:rPr>
                <w:sz w:val="22"/>
                <w:szCs w:val="22"/>
              </w:rPr>
              <w:t xml:space="preserve"> these issues are more prevalent among our disadvantaged pupils than their peers. </w:t>
            </w:r>
          </w:p>
          <w:p w14:paraId="1C3895B1" w14:textId="09F71B5A" w:rsidR="00B033C3" w:rsidRDefault="00B033C3" w:rsidP="00B033C3">
            <w:pPr>
              <w:pStyle w:val="TableRowCentered"/>
              <w:ind w:left="0"/>
              <w:contextualSpacing/>
              <w:jc w:val="left"/>
              <w:rPr>
                <w:sz w:val="22"/>
                <w:szCs w:val="22"/>
              </w:rPr>
            </w:pPr>
            <w:r>
              <w:rPr>
                <w:sz w:val="22"/>
                <w:szCs w:val="22"/>
              </w:rPr>
              <w:t xml:space="preserve">Disadvantaged pupils had poorer outcomes (attainment gap </w:t>
            </w:r>
            <w:r w:rsidRPr="008072CA">
              <w:rPr>
                <w:sz w:val="22"/>
                <w:szCs w:val="22"/>
              </w:rPr>
              <w:t xml:space="preserve">of </w:t>
            </w:r>
            <w:r w:rsidR="008072CA" w:rsidRPr="008072CA">
              <w:rPr>
                <w:sz w:val="22"/>
                <w:szCs w:val="22"/>
              </w:rPr>
              <w:t>16</w:t>
            </w:r>
            <w:r w:rsidRPr="008072CA">
              <w:rPr>
                <w:sz w:val="22"/>
                <w:szCs w:val="22"/>
              </w:rPr>
              <w:t>%)</w:t>
            </w:r>
            <w:r w:rsidR="008072CA">
              <w:rPr>
                <w:sz w:val="22"/>
                <w:szCs w:val="22"/>
              </w:rPr>
              <w:t xml:space="preserve"> tha</w:t>
            </w:r>
            <w:r>
              <w:rPr>
                <w:sz w:val="22"/>
                <w:szCs w:val="22"/>
              </w:rPr>
              <w:t xml:space="preserve">n their peers in writing at the end of 2021. </w:t>
            </w:r>
          </w:p>
          <w:p w14:paraId="67E10577" w14:textId="77777777" w:rsidR="000224B9" w:rsidRDefault="000224B9" w:rsidP="00B033C3">
            <w:pPr>
              <w:pStyle w:val="TableRowCentered"/>
              <w:ind w:left="0"/>
              <w:contextualSpacing/>
              <w:jc w:val="left"/>
              <w:rPr>
                <w:sz w:val="22"/>
                <w:szCs w:val="22"/>
              </w:rPr>
            </w:pPr>
          </w:p>
          <w:p w14:paraId="5CAC1FB8" w14:textId="77777777" w:rsidR="00BC3E19" w:rsidRPr="002D77D9" w:rsidRDefault="00BC3E19" w:rsidP="00BC3E19">
            <w:pPr>
              <w:pStyle w:val="TableRowCentered"/>
              <w:jc w:val="left"/>
              <w:rPr>
                <w:b/>
                <w:iCs/>
                <w:color w:val="4F81BD" w:themeColor="accent1"/>
                <w:sz w:val="22"/>
                <w:highlight w:val="yellow"/>
                <w:u w:val="single"/>
              </w:rPr>
            </w:pPr>
            <w:r w:rsidRPr="002D77D9">
              <w:rPr>
                <w:b/>
                <w:iCs/>
                <w:color w:val="4F81BD" w:themeColor="accent1"/>
                <w:sz w:val="22"/>
                <w:u w:val="single"/>
              </w:rPr>
              <w:t>2021-22</w:t>
            </w:r>
          </w:p>
          <w:p w14:paraId="355B851F" w14:textId="3E3177F5" w:rsidR="00BB6DD8" w:rsidRPr="003500E5" w:rsidRDefault="00BB6DD8" w:rsidP="00BB6DD8">
            <w:pPr>
              <w:pStyle w:val="TableRowCentered"/>
              <w:jc w:val="left"/>
              <w:rPr>
                <w:iCs/>
                <w:color w:val="4F81BD" w:themeColor="accent1"/>
                <w:sz w:val="22"/>
              </w:rPr>
            </w:pPr>
            <w:r w:rsidRPr="003500E5">
              <w:rPr>
                <w:iCs/>
                <w:color w:val="4F81BD" w:themeColor="accent1"/>
                <w:sz w:val="22"/>
              </w:rPr>
              <w:t xml:space="preserve">Most recent </w:t>
            </w:r>
            <w:proofErr w:type="spellStart"/>
            <w:r w:rsidRPr="003500E5">
              <w:rPr>
                <w:iCs/>
                <w:color w:val="4F81BD" w:themeColor="accent1"/>
                <w:sz w:val="22"/>
              </w:rPr>
              <w:t>resuts</w:t>
            </w:r>
            <w:proofErr w:type="spellEnd"/>
            <w:r w:rsidRPr="003500E5">
              <w:rPr>
                <w:iCs/>
                <w:color w:val="4F81BD" w:themeColor="accent1"/>
                <w:sz w:val="22"/>
              </w:rPr>
              <w:t xml:space="preserve"> for writing are – </w:t>
            </w:r>
          </w:p>
          <w:p w14:paraId="130EC35E" w14:textId="4F4C0A5C" w:rsidR="00BB6DD8" w:rsidRPr="003500E5" w:rsidRDefault="00BB6DD8" w:rsidP="00BB6DD8">
            <w:pPr>
              <w:pStyle w:val="TableRowCentered"/>
              <w:jc w:val="left"/>
              <w:rPr>
                <w:iCs/>
                <w:color w:val="4F81BD" w:themeColor="accent1"/>
                <w:sz w:val="22"/>
              </w:rPr>
            </w:pPr>
            <w:r w:rsidRPr="003500E5">
              <w:rPr>
                <w:iCs/>
                <w:color w:val="4F81BD" w:themeColor="accent1"/>
                <w:sz w:val="22"/>
              </w:rPr>
              <w:t xml:space="preserve">KS1 all pupils – </w:t>
            </w:r>
            <w:r w:rsidR="003500E5" w:rsidRPr="003500E5">
              <w:rPr>
                <w:iCs/>
                <w:color w:val="4F81BD" w:themeColor="accent1"/>
                <w:sz w:val="22"/>
              </w:rPr>
              <w:t>59%</w:t>
            </w:r>
          </w:p>
          <w:p w14:paraId="441F2042" w14:textId="51D9F579" w:rsidR="00B033C3" w:rsidRDefault="00BB6DD8" w:rsidP="00BB6DD8">
            <w:pPr>
              <w:pStyle w:val="TableRowCentered"/>
              <w:jc w:val="left"/>
              <w:rPr>
                <w:iCs/>
                <w:color w:val="4F81BD" w:themeColor="accent1"/>
                <w:sz w:val="22"/>
              </w:rPr>
            </w:pPr>
            <w:r w:rsidRPr="003500E5">
              <w:rPr>
                <w:iCs/>
                <w:color w:val="4F81BD" w:themeColor="accent1"/>
                <w:sz w:val="22"/>
              </w:rPr>
              <w:t xml:space="preserve">KS1 PPG pupils </w:t>
            </w:r>
            <w:r w:rsidR="000224B9" w:rsidRPr="003500E5">
              <w:rPr>
                <w:iCs/>
                <w:color w:val="4F81BD" w:themeColor="accent1"/>
                <w:sz w:val="22"/>
              </w:rPr>
              <w:t>–</w:t>
            </w:r>
            <w:r w:rsidR="003500E5" w:rsidRPr="003500E5">
              <w:rPr>
                <w:iCs/>
                <w:color w:val="4F81BD" w:themeColor="accent1"/>
                <w:sz w:val="22"/>
              </w:rPr>
              <w:t xml:space="preserve"> 22%</w:t>
            </w:r>
          </w:p>
          <w:p w14:paraId="307A9493" w14:textId="402A25DA" w:rsidR="000224B9" w:rsidRPr="000224B9" w:rsidRDefault="001174CC" w:rsidP="000224B9">
            <w:pPr>
              <w:pStyle w:val="TableRowCentered"/>
              <w:jc w:val="left"/>
              <w:rPr>
                <w:iCs/>
                <w:color w:val="4F81BD" w:themeColor="accent1"/>
                <w:sz w:val="22"/>
              </w:rPr>
            </w:pPr>
            <w:r>
              <w:rPr>
                <w:iCs/>
                <w:color w:val="4F81BD" w:themeColor="accent1"/>
                <w:sz w:val="22"/>
              </w:rPr>
              <w:t>KS2 all pupils – 71</w:t>
            </w:r>
            <w:r w:rsidR="000224B9" w:rsidRPr="000224B9">
              <w:rPr>
                <w:iCs/>
                <w:color w:val="4F81BD" w:themeColor="accent1"/>
                <w:sz w:val="22"/>
              </w:rPr>
              <w:t>%</w:t>
            </w:r>
          </w:p>
          <w:p w14:paraId="3B6F2877" w14:textId="77777777" w:rsidR="000224B9" w:rsidRDefault="000224B9" w:rsidP="000224B9">
            <w:pPr>
              <w:pStyle w:val="TableRowCentered"/>
              <w:jc w:val="left"/>
              <w:rPr>
                <w:iCs/>
                <w:color w:val="4F81BD" w:themeColor="accent1"/>
                <w:sz w:val="22"/>
              </w:rPr>
            </w:pPr>
            <w:r w:rsidRPr="000224B9">
              <w:rPr>
                <w:iCs/>
                <w:color w:val="4F81BD" w:themeColor="accent1"/>
                <w:sz w:val="22"/>
              </w:rPr>
              <w:t>KS2 PPG pupils -75%</w:t>
            </w:r>
          </w:p>
          <w:p w14:paraId="2A7D54F7" w14:textId="7BE88FF3" w:rsidR="003500E5" w:rsidRPr="009C6E75" w:rsidRDefault="003500E5" w:rsidP="003500E5">
            <w:pPr>
              <w:pStyle w:val="TableRowCentered"/>
              <w:jc w:val="left"/>
              <w:rPr>
                <w:iCs/>
                <w:sz w:val="22"/>
              </w:rPr>
            </w:pPr>
            <w:r>
              <w:rPr>
                <w:iCs/>
                <w:color w:val="4F81BD" w:themeColor="accent1"/>
                <w:sz w:val="22"/>
              </w:rPr>
              <w:t>Disadvantaged pupils have closed the gap and have achieved in line with (</w:t>
            </w:r>
            <w:proofErr w:type="gramStart"/>
            <w:r>
              <w:rPr>
                <w:iCs/>
                <w:color w:val="4F81BD" w:themeColor="accent1"/>
                <w:sz w:val="22"/>
              </w:rPr>
              <w:t>actually slightly</w:t>
            </w:r>
            <w:proofErr w:type="gramEnd"/>
            <w:r>
              <w:rPr>
                <w:iCs/>
                <w:color w:val="4F81BD" w:themeColor="accent1"/>
                <w:sz w:val="22"/>
              </w:rPr>
              <w:t xml:space="preserve"> above) all pupils in Key Stage 2. In Key Stage 1 they continue to have poorer outcomes than all pupils. This cohort continue to have significant support and tracking in order to identify and close attainment gaps.</w:t>
            </w:r>
          </w:p>
        </w:tc>
      </w:tr>
      <w:tr w:rsidR="00DF1C6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64267D1" w:rsidR="00DF1C6E" w:rsidRDefault="00DF1C6E" w:rsidP="00DF1C6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348C0" w14:textId="2E2302B2" w:rsidR="00DF1C6E" w:rsidRDefault="008D59AE" w:rsidP="00DF1C6E">
            <w:pPr>
              <w:pStyle w:val="TableRowCentered"/>
              <w:jc w:val="left"/>
              <w:rPr>
                <w:b/>
                <w:iCs/>
                <w:sz w:val="22"/>
              </w:rPr>
            </w:pPr>
            <w:r w:rsidRPr="00484EDE">
              <w:rPr>
                <w:b/>
                <w:iCs/>
                <w:sz w:val="22"/>
              </w:rPr>
              <w:t>Emotional Health and Well Being</w:t>
            </w:r>
          </w:p>
          <w:p w14:paraId="102B2EAC" w14:textId="101B4695" w:rsidR="00BC3E19" w:rsidRDefault="00BC3E19" w:rsidP="00DF1C6E">
            <w:pPr>
              <w:pStyle w:val="TableRowCentered"/>
              <w:jc w:val="left"/>
              <w:rPr>
                <w:b/>
                <w:iCs/>
                <w:sz w:val="22"/>
              </w:rPr>
            </w:pPr>
            <w:r>
              <w:rPr>
                <w:b/>
                <w:iCs/>
                <w:sz w:val="22"/>
              </w:rPr>
              <w:lastRenderedPageBreak/>
              <w:t>2020-21</w:t>
            </w:r>
          </w:p>
          <w:p w14:paraId="016F7742" w14:textId="191A2305" w:rsidR="00BC3E19" w:rsidRPr="000224B9" w:rsidRDefault="000224B9" w:rsidP="00DF1C6E">
            <w:pPr>
              <w:pStyle w:val="TableRowCentered"/>
              <w:jc w:val="left"/>
              <w:rPr>
                <w:iCs/>
                <w:sz w:val="22"/>
              </w:rPr>
            </w:pPr>
            <w:r w:rsidRPr="000224B9">
              <w:rPr>
                <w:iCs/>
                <w:sz w:val="22"/>
              </w:rPr>
              <w:t>Social, Emotional and Health needs – around a quarter (around 25) of our disadvantaged pupils need support with their social and emotional skills; they find it difficult to regulate their feelings due to a range of needs and home issues. This can impact their ability to engage in learning across the curriculum.</w:t>
            </w:r>
          </w:p>
          <w:p w14:paraId="6B89237F" w14:textId="77777777" w:rsidR="00BC3E19" w:rsidRPr="002D77D9" w:rsidRDefault="00BC3E19" w:rsidP="00BC3E19">
            <w:pPr>
              <w:pStyle w:val="TableRowCentered"/>
              <w:jc w:val="left"/>
              <w:rPr>
                <w:b/>
                <w:iCs/>
                <w:color w:val="4F81BD" w:themeColor="accent1"/>
                <w:sz w:val="22"/>
                <w:highlight w:val="yellow"/>
                <w:u w:val="single"/>
              </w:rPr>
            </w:pPr>
            <w:r w:rsidRPr="002D77D9">
              <w:rPr>
                <w:b/>
                <w:iCs/>
                <w:color w:val="4F81BD" w:themeColor="accent1"/>
                <w:sz w:val="22"/>
                <w:u w:val="single"/>
              </w:rPr>
              <w:t>2021-22</w:t>
            </w:r>
          </w:p>
          <w:p w14:paraId="2F256DD5" w14:textId="77777777" w:rsidR="00BB6DD8" w:rsidRDefault="003500E5" w:rsidP="00BB6DD8">
            <w:pPr>
              <w:pStyle w:val="TableRowCentered"/>
              <w:jc w:val="left"/>
              <w:rPr>
                <w:iCs/>
                <w:color w:val="4F81BD" w:themeColor="accent1"/>
                <w:sz w:val="22"/>
              </w:rPr>
            </w:pPr>
            <w:r w:rsidRPr="003500E5">
              <w:rPr>
                <w:iCs/>
                <w:color w:val="4F81BD" w:themeColor="accent1"/>
                <w:sz w:val="22"/>
              </w:rPr>
              <w:t>During 2021-22 40 number of children (24</w:t>
            </w:r>
            <w:r w:rsidR="00BB6DD8" w:rsidRPr="003500E5">
              <w:rPr>
                <w:iCs/>
                <w:color w:val="4F81BD" w:themeColor="accent1"/>
                <w:sz w:val="22"/>
              </w:rPr>
              <w:t xml:space="preserve"> of those being PPG pupils) received support from our in-house social worker for emotional health and wellbeing support.</w:t>
            </w:r>
          </w:p>
          <w:p w14:paraId="2A7D54FD" w14:textId="066ECF5A" w:rsidR="003500E5" w:rsidRPr="00BB6DD8" w:rsidRDefault="003500E5" w:rsidP="003500E5">
            <w:pPr>
              <w:pStyle w:val="TableRowCentered"/>
              <w:jc w:val="left"/>
              <w:rPr>
                <w:iCs/>
                <w:color w:val="4F81BD" w:themeColor="accent1"/>
                <w:sz w:val="22"/>
              </w:rPr>
            </w:pPr>
            <w:r>
              <w:rPr>
                <w:iCs/>
                <w:color w:val="4F81BD" w:themeColor="accent1"/>
                <w:sz w:val="22"/>
              </w:rPr>
              <w:t>Priorities for 22-23 include p</w:t>
            </w:r>
            <w:r w:rsidRPr="003500E5">
              <w:rPr>
                <w:iCs/>
                <w:color w:val="4F81BD" w:themeColor="accent1"/>
                <w:sz w:val="22"/>
              </w:rPr>
              <w:t>ositive transitions for year 6, healthy relationships, friendship and social skills, self-esteem and resilience building, keep safe work (inc</w:t>
            </w:r>
            <w:r>
              <w:rPr>
                <w:iCs/>
                <w:color w:val="4F81BD" w:themeColor="accent1"/>
                <w:sz w:val="22"/>
              </w:rPr>
              <w:t>luding</w:t>
            </w:r>
            <w:r w:rsidRPr="003500E5">
              <w:rPr>
                <w:iCs/>
                <w:color w:val="4F81BD" w:themeColor="accent1"/>
                <w:sz w:val="22"/>
              </w:rPr>
              <w:t xml:space="preserve"> county lines for older children), anti-bullying (inc</w:t>
            </w:r>
            <w:r>
              <w:rPr>
                <w:iCs/>
                <w:color w:val="4F81BD" w:themeColor="accent1"/>
                <w:sz w:val="22"/>
              </w:rPr>
              <w:t>luding</w:t>
            </w:r>
            <w:r w:rsidRPr="003500E5">
              <w:rPr>
                <w:iCs/>
                <w:color w:val="4F81BD" w:themeColor="accent1"/>
                <w:sz w:val="22"/>
              </w:rPr>
              <w:t xml:space="preserve"> </w:t>
            </w:r>
            <w:r>
              <w:rPr>
                <w:iCs/>
                <w:color w:val="4F81BD" w:themeColor="accent1"/>
                <w:sz w:val="22"/>
              </w:rPr>
              <w:t>child</w:t>
            </w:r>
            <w:r w:rsidRPr="003500E5">
              <w:rPr>
                <w:iCs/>
                <w:color w:val="4F81BD" w:themeColor="accent1"/>
                <w:sz w:val="22"/>
              </w:rPr>
              <w:t xml:space="preserve"> on </w:t>
            </w:r>
            <w:r>
              <w:rPr>
                <w:iCs/>
                <w:color w:val="4F81BD" w:themeColor="accent1"/>
                <w:sz w:val="22"/>
              </w:rPr>
              <w:t>child</w:t>
            </w:r>
            <w:r w:rsidRPr="003500E5">
              <w:rPr>
                <w:iCs/>
                <w:color w:val="4F81BD" w:themeColor="accent1"/>
                <w:sz w:val="22"/>
              </w:rPr>
              <w:t xml:space="preserve"> abuse)</w:t>
            </w:r>
            <w:r>
              <w:rPr>
                <w:iCs/>
                <w:color w:val="4F81BD" w:themeColor="accent1"/>
                <w:sz w:val="22"/>
              </w:rPr>
              <w:t>,</w:t>
            </w:r>
            <w:r w:rsidRPr="003500E5">
              <w:rPr>
                <w:iCs/>
                <w:color w:val="4F81BD" w:themeColor="accent1"/>
                <w:sz w:val="22"/>
              </w:rPr>
              <w:t xml:space="preserve"> well-being assessment tools for all PP children</w:t>
            </w:r>
            <w:r>
              <w:rPr>
                <w:iCs/>
                <w:color w:val="4F81BD" w:themeColor="accent1"/>
                <w:sz w:val="22"/>
              </w:rPr>
              <w:t>.</w:t>
            </w:r>
          </w:p>
        </w:tc>
      </w:tr>
    </w:tbl>
    <w:p w14:paraId="2A7D54FF" w14:textId="77777777" w:rsidR="00E66558" w:rsidRDefault="009D71E8">
      <w:pPr>
        <w:pStyle w:val="Heading2"/>
        <w:spacing w:before="600"/>
      </w:pPr>
      <w:bookmarkStart w:id="16" w:name="_Toc443397160"/>
      <w:r>
        <w:lastRenderedPageBreak/>
        <w:t xml:space="preserve">Intended </w:t>
      </w:r>
      <w:proofErr w:type="gramStart"/>
      <w:r>
        <w:t>outcomes</w:t>
      </w:r>
      <w:proofErr w:type="gramEnd"/>
      <w:r>
        <w:t xml:space="preserve"> </w:t>
      </w:r>
    </w:p>
    <w:p w14:paraId="2A7D5500" w14:textId="3A40EBF6" w:rsidR="00E66558" w:rsidRDefault="009D71E8">
      <w:r>
        <w:rPr>
          <w:color w:val="auto"/>
        </w:rPr>
        <w:t xml:space="preserve">This explains the outcomes we are aiming for </w:t>
      </w:r>
      <w:r>
        <w:rPr>
          <w:b/>
          <w:bCs/>
          <w:color w:val="auto"/>
        </w:rPr>
        <w:t>by the end of our current strategy plan</w:t>
      </w:r>
      <w:r w:rsidR="00A65B5C">
        <w:rPr>
          <w:b/>
          <w:bCs/>
          <w:color w:val="auto"/>
        </w:rPr>
        <w:t xml:space="preserve"> (24/25)</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F1C6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85E33A" w:rsidR="00DF1C6E" w:rsidRDefault="001E4CE3" w:rsidP="00DF1C6E">
            <w:pPr>
              <w:pStyle w:val="TableRow"/>
            </w:pPr>
            <w:r w:rsidRPr="001E4CE3">
              <w:rPr>
                <w:sz w:val="22"/>
                <w:szCs w:val="22"/>
              </w:rPr>
              <w:t>To achieve and sustain improved attendance for all our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D53E" w14:textId="77777777" w:rsidR="001E4CE3" w:rsidRPr="001E4CE3" w:rsidRDefault="001E4CE3" w:rsidP="001E4CE3">
            <w:pPr>
              <w:pStyle w:val="TableRowCentered"/>
              <w:jc w:val="left"/>
              <w:rPr>
                <w:rFonts w:cs="Calibri"/>
                <w:sz w:val="22"/>
                <w:szCs w:val="22"/>
              </w:rPr>
            </w:pPr>
            <w:r w:rsidRPr="001E4CE3">
              <w:rPr>
                <w:rFonts w:cs="Calibri"/>
                <w:sz w:val="22"/>
                <w:szCs w:val="22"/>
              </w:rPr>
              <w:t>Sustained high attendance from 2024/25 demonstrated by:</w:t>
            </w:r>
          </w:p>
          <w:p w14:paraId="31AC8164" w14:textId="49C07616" w:rsidR="001E4CE3" w:rsidRPr="001E4CE3" w:rsidRDefault="001E4CE3" w:rsidP="001E4CE3">
            <w:pPr>
              <w:pStyle w:val="TableRowCentered"/>
              <w:jc w:val="left"/>
              <w:rPr>
                <w:rFonts w:cs="Calibri"/>
                <w:sz w:val="22"/>
                <w:szCs w:val="22"/>
              </w:rPr>
            </w:pPr>
            <w:r w:rsidRPr="001E4CE3">
              <w:rPr>
                <w:rFonts w:cs="Calibri"/>
                <w:sz w:val="22"/>
                <w:szCs w:val="22"/>
              </w:rPr>
              <w:t>•</w:t>
            </w:r>
            <w:r w:rsidRPr="001E4CE3">
              <w:rPr>
                <w:rFonts w:cs="Calibri"/>
                <w:sz w:val="22"/>
                <w:szCs w:val="22"/>
              </w:rPr>
              <w:tab/>
              <w:t>The overall absence rate for</w:t>
            </w:r>
            <w:r>
              <w:rPr>
                <w:rFonts w:cs="Calibri"/>
                <w:sz w:val="22"/>
                <w:szCs w:val="22"/>
              </w:rPr>
              <w:t xml:space="preserve"> all pupils being no more than 1.5</w:t>
            </w:r>
            <w:r w:rsidRPr="001E4CE3">
              <w:rPr>
                <w:rFonts w:cs="Calibri"/>
                <w:sz w:val="22"/>
                <w:szCs w:val="22"/>
              </w:rPr>
              <w:t xml:space="preserve">% </w:t>
            </w:r>
            <w:r>
              <w:rPr>
                <w:rFonts w:cs="Calibri"/>
                <w:sz w:val="22"/>
                <w:szCs w:val="22"/>
              </w:rPr>
              <w:t xml:space="preserve">(98.5% attendance- LA average) </w:t>
            </w:r>
            <w:r w:rsidRPr="001E4CE3">
              <w:rPr>
                <w:rFonts w:cs="Calibri"/>
                <w:sz w:val="22"/>
                <w:szCs w:val="22"/>
              </w:rPr>
              <w:t>and the attendance gap between disadvantaged pupils and their non-disadva</w:t>
            </w:r>
            <w:r>
              <w:rPr>
                <w:rFonts w:cs="Calibri"/>
                <w:sz w:val="22"/>
                <w:szCs w:val="22"/>
              </w:rPr>
              <w:t>ntaged peers being reduced to 1%</w:t>
            </w:r>
            <w:r w:rsidRPr="001E4CE3">
              <w:rPr>
                <w:rFonts w:cs="Calibri"/>
                <w:sz w:val="22"/>
                <w:szCs w:val="22"/>
              </w:rPr>
              <w:t xml:space="preserve">. </w:t>
            </w:r>
          </w:p>
          <w:p w14:paraId="2A7D5505" w14:textId="41ECB950" w:rsidR="00DF1C6E" w:rsidRDefault="001E4CE3" w:rsidP="001E4CE3">
            <w:pPr>
              <w:pStyle w:val="TableRowCentered"/>
              <w:jc w:val="left"/>
              <w:rPr>
                <w:sz w:val="22"/>
                <w:szCs w:val="22"/>
              </w:rPr>
            </w:pPr>
            <w:r w:rsidRPr="001E4CE3">
              <w:rPr>
                <w:rFonts w:cs="Calibri"/>
                <w:sz w:val="22"/>
                <w:szCs w:val="22"/>
              </w:rPr>
              <w:t>•</w:t>
            </w:r>
            <w:r w:rsidRPr="001E4CE3">
              <w:rPr>
                <w:rFonts w:cs="Calibri"/>
                <w:sz w:val="22"/>
                <w:szCs w:val="22"/>
              </w:rPr>
              <w:tab/>
              <w:t>The percentage of all pupils who are persistently absent being below 10% and the figure among disadvantaged pupils being no more than 5% than their peers.</w:t>
            </w:r>
          </w:p>
        </w:tc>
      </w:tr>
      <w:tr w:rsidR="008363A9" w14:paraId="59D4F8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4025" w14:textId="4FB9BFD2" w:rsidR="008363A9" w:rsidRPr="001E4CE3" w:rsidRDefault="00144EA7" w:rsidP="00144EA7">
            <w:pPr>
              <w:pStyle w:val="TableRow"/>
              <w:rPr>
                <w:sz w:val="22"/>
                <w:szCs w:val="22"/>
              </w:rPr>
            </w:pPr>
            <w:r w:rsidRPr="00144EA7">
              <w:rPr>
                <w:sz w:val="22"/>
                <w:szCs w:val="22"/>
              </w:rPr>
              <w:t xml:space="preserve">Improved </w:t>
            </w:r>
            <w:r>
              <w:rPr>
                <w:sz w:val="22"/>
                <w:szCs w:val="22"/>
              </w:rPr>
              <w:t>phonics</w:t>
            </w:r>
            <w:r w:rsidRPr="00144EA7">
              <w:rPr>
                <w:sz w:val="22"/>
                <w:szCs w:val="22"/>
              </w:rPr>
              <w:t xml:space="preserve"> attainment for disadvan</w:t>
            </w:r>
            <w:r>
              <w:rPr>
                <w:sz w:val="22"/>
                <w:szCs w:val="22"/>
              </w:rPr>
              <w:t>taged pupils at the Phonics Standard Check at the end of Year 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0690" w14:textId="77777777" w:rsidR="008363A9" w:rsidRDefault="00144EA7" w:rsidP="00144EA7">
            <w:pPr>
              <w:pStyle w:val="TableRowCentered"/>
              <w:ind w:left="0"/>
              <w:jc w:val="left"/>
              <w:rPr>
                <w:rFonts w:cs="Calibri"/>
                <w:sz w:val="22"/>
                <w:szCs w:val="22"/>
              </w:rPr>
            </w:pPr>
            <w:r>
              <w:rPr>
                <w:rFonts w:cs="Calibri"/>
                <w:sz w:val="22"/>
                <w:szCs w:val="22"/>
              </w:rPr>
              <w:t>Phonics</w:t>
            </w:r>
            <w:r w:rsidRPr="00144EA7">
              <w:rPr>
                <w:rFonts w:cs="Calibri"/>
                <w:sz w:val="22"/>
                <w:szCs w:val="22"/>
              </w:rPr>
              <w:t xml:space="preserve"> outcomes will climb year on year </w:t>
            </w:r>
            <w:r w:rsidR="00D177A3">
              <w:rPr>
                <w:rFonts w:cs="Calibri"/>
                <w:sz w:val="22"/>
                <w:szCs w:val="22"/>
              </w:rPr>
              <w:t xml:space="preserve">for all pupils </w:t>
            </w:r>
            <w:r w:rsidRPr="00144EA7">
              <w:rPr>
                <w:rFonts w:cs="Calibri"/>
                <w:sz w:val="22"/>
                <w:szCs w:val="22"/>
              </w:rPr>
              <w:t xml:space="preserve">and in 2024/25 show that more than 75% of disadvantaged pupils met the expected </w:t>
            </w:r>
            <w:proofErr w:type="gramStart"/>
            <w:r w:rsidRPr="00144EA7">
              <w:rPr>
                <w:rFonts w:cs="Calibri"/>
                <w:sz w:val="22"/>
                <w:szCs w:val="22"/>
              </w:rPr>
              <w:t>standard</w:t>
            </w:r>
            <w:proofErr w:type="gramEnd"/>
          </w:p>
          <w:p w14:paraId="0B1FB0F9" w14:textId="64AF27E7" w:rsidR="00A65B5C" w:rsidRPr="00A65B5C" w:rsidRDefault="00A65B5C" w:rsidP="00144EA7">
            <w:pPr>
              <w:pStyle w:val="TableRowCentered"/>
              <w:ind w:left="0"/>
              <w:jc w:val="left"/>
              <w:rPr>
                <w:rFonts w:cs="Calibri"/>
                <w:color w:val="4F81BD" w:themeColor="accent1"/>
                <w:sz w:val="22"/>
                <w:szCs w:val="22"/>
              </w:rPr>
            </w:pPr>
            <w:r>
              <w:rPr>
                <w:rFonts w:cs="Calibri"/>
                <w:color w:val="4F81BD" w:themeColor="accent1"/>
                <w:sz w:val="22"/>
                <w:szCs w:val="22"/>
              </w:rPr>
              <w:t>This has been achieved by Summer 2022 and will remain a priority to ensure standards remain high.</w:t>
            </w:r>
          </w:p>
        </w:tc>
      </w:tr>
      <w:tr w:rsidR="001A4ED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FCBF77" w:rsidR="001A4ED3" w:rsidRDefault="001A4ED3" w:rsidP="001A4ED3">
            <w:pPr>
              <w:pStyle w:val="TableRow"/>
              <w:rPr>
                <w:sz w:val="22"/>
                <w:szCs w:val="22"/>
              </w:rPr>
            </w:pPr>
            <w:r>
              <w:rPr>
                <w:sz w:val="22"/>
                <w:szCs w:val="22"/>
              </w:rPr>
              <w:t xml:space="preserve">Improved reading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FD8B" w14:textId="7191227D" w:rsidR="001A4ED3" w:rsidRDefault="001A4ED3" w:rsidP="001A4ED3">
            <w:pPr>
              <w:pStyle w:val="TableRowCentered"/>
              <w:jc w:val="left"/>
              <w:rPr>
                <w:sz w:val="22"/>
                <w:szCs w:val="22"/>
              </w:rPr>
            </w:pPr>
            <w:r>
              <w:rPr>
                <w:sz w:val="22"/>
                <w:szCs w:val="22"/>
              </w:rPr>
              <w:t xml:space="preserve">KS2 outcomes will climb year on year and in 2024/25 show that more than 75% of disadvantaged pupils met the expected standard in </w:t>
            </w:r>
            <w:proofErr w:type="gramStart"/>
            <w:r>
              <w:rPr>
                <w:sz w:val="22"/>
                <w:szCs w:val="22"/>
              </w:rPr>
              <w:t>Reading</w:t>
            </w:r>
            <w:proofErr w:type="gramEnd"/>
          </w:p>
          <w:p w14:paraId="2A7D5508" w14:textId="3FBA711B" w:rsidR="001A4ED3" w:rsidRPr="00A65B5C" w:rsidRDefault="00A65B5C" w:rsidP="001A4ED3">
            <w:pPr>
              <w:pStyle w:val="TableRowCentered"/>
              <w:jc w:val="left"/>
              <w:rPr>
                <w:color w:val="4F81BD" w:themeColor="accent1"/>
                <w:sz w:val="22"/>
                <w:szCs w:val="22"/>
              </w:rPr>
            </w:pPr>
            <w:r>
              <w:rPr>
                <w:color w:val="4F81BD" w:themeColor="accent1"/>
                <w:sz w:val="22"/>
                <w:szCs w:val="22"/>
              </w:rPr>
              <w:t>During 2022-23 priority shifts to KS1, ensuring our younger learners are at age related expectations by the end of KS1 giving a greater chance for positive progression to age related expectations at the end of KS2.</w:t>
            </w:r>
          </w:p>
        </w:tc>
      </w:tr>
      <w:tr w:rsidR="00DF1C6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06AEC52" w:rsidR="00DF1C6E" w:rsidRDefault="00B033C3" w:rsidP="00DF1C6E">
            <w:pPr>
              <w:pStyle w:val="TableRow"/>
              <w:rPr>
                <w:sz w:val="22"/>
                <w:szCs w:val="22"/>
              </w:rPr>
            </w:pPr>
            <w:r>
              <w:rPr>
                <w:sz w:val="22"/>
                <w:szCs w:val="22"/>
              </w:rPr>
              <w:t xml:space="preserve">Improved writing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3BDD" w14:textId="37023043" w:rsidR="00B033C3" w:rsidRDefault="00B033C3" w:rsidP="00B033C3">
            <w:pPr>
              <w:pStyle w:val="TableRowCentered"/>
              <w:jc w:val="left"/>
              <w:rPr>
                <w:sz w:val="22"/>
                <w:szCs w:val="22"/>
              </w:rPr>
            </w:pPr>
            <w:r>
              <w:rPr>
                <w:sz w:val="22"/>
                <w:szCs w:val="22"/>
              </w:rPr>
              <w:t xml:space="preserve">KS2 outcomes (including improvements in handwriting and </w:t>
            </w:r>
            <w:proofErr w:type="gramStart"/>
            <w:r>
              <w:rPr>
                <w:sz w:val="22"/>
                <w:szCs w:val="22"/>
              </w:rPr>
              <w:t>presentation)  will</w:t>
            </w:r>
            <w:proofErr w:type="gramEnd"/>
            <w:r>
              <w:rPr>
                <w:sz w:val="22"/>
                <w:szCs w:val="22"/>
              </w:rPr>
              <w:t xml:space="preserve"> climb </w:t>
            </w:r>
            <w:r>
              <w:rPr>
                <w:sz w:val="22"/>
                <w:szCs w:val="22"/>
              </w:rPr>
              <w:lastRenderedPageBreak/>
              <w:t>year on year and in 2024/25 show that more than 75% of disadvantaged pupils met the expected standard in Writing</w:t>
            </w:r>
          </w:p>
          <w:p w14:paraId="6A02451E" w14:textId="50BF91CD" w:rsidR="00463F65" w:rsidRDefault="00463F65" w:rsidP="00B033C3">
            <w:pPr>
              <w:pStyle w:val="TableRowCentered"/>
              <w:jc w:val="left"/>
              <w:rPr>
                <w:sz w:val="22"/>
                <w:szCs w:val="22"/>
              </w:rPr>
            </w:pPr>
            <w:r>
              <w:rPr>
                <w:color w:val="4F81BD" w:themeColor="accent1"/>
                <w:sz w:val="22"/>
                <w:szCs w:val="22"/>
              </w:rPr>
              <w:t>During 2022-23 priority shifts to KS1, ensuring our younger learners are at age related expectations by the end of KS1 giving a greater chance for positive progression to age related expectations at the end of KS2.</w:t>
            </w:r>
          </w:p>
          <w:p w14:paraId="2A7D550B" w14:textId="4F94B4E3" w:rsidR="00DF1C6E" w:rsidRDefault="00DF1C6E" w:rsidP="00DF1C6E">
            <w:pPr>
              <w:pStyle w:val="TableRowCentered"/>
              <w:jc w:val="left"/>
              <w:rPr>
                <w:sz w:val="22"/>
                <w:szCs w:val="22"/>
              </w:rPr>
            </w:pPr>
          </w:p>
        </w:tc>
      </w:tr>
      <w:tr w:rsidR="00DF1C6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0F6C7E" w:rsidR="00DF1C6E" w:rsidRPr="00B033C3" w:rsidRDefault="001A4ED3" w:rsidP="00BC3E19">
            <w:pPr>
              <w:pStyle w:val="TableRow"/>
              <w:rPr>
                <w:rFonts w:cs="Calibri"/>
                <w:sz w:val="22"/>
                <w:szCs w:val="22"/>
              </w:rPr>
            </w:pPr>
            <w:r w:rsidRPr="001A4ED3">
              <w:rPr>
                <w:rFonts w:cs="Calibri"/>
                <w:sz w:val="22"/>
                <w:szCs w:val="22"/>
              </w:rPr>
              <w:lastRenderedPageBreak/>
              <w:t>To improve the social and emotional</w:t>
            </w:r>
            <w:r w:rsidR="00BC3E19">
              <w:rPr>
                <w:rFonts w:cs="Calibri"/>
                <w:sz w:val="22"/>
                <w:szCs w:val="22"/>
              </w:rPr>
              <w:t xml:space="preserve"> </w:t>
            </w:r>
            <w:r w:rsidRPr="001A4ED3">
              <w:rPr>
                <w:rFonts w:cs="Calibri"/>
                <w:sz w:val="22"/>
                <w:szCs w:val="22"/>
              </w:rPr>
              <w:t>skills of pupils to improve their</w:t>
            </w:r>
            <w:r w:rsidR="00B033C3">
              <w:rPr>
                <w:rFonts w:cs="Calibri"/>
                <w:sz w:val="22"/>
                <w:szCs w:val="22"/>
              </w:rPr>
              <w:t xml:space="preserve"> </w:t>
            </w:r>
            <w:r w:rsidRPr="001A4ED3">
              <w:rPr>
                <w:rFonts w:cs="Calibri"/>
                <w:sz w:val="22"/>
                <w:szCs w:val="22"/>
              </w:rPr>
              <w:t>engagement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9CCE" w14:textId="77777777" w:rsidR="00B033C3" w:rsidRDefault="00B033C3" w:rsidP="00DF1C6E">
            <w:pPr>
              <w:pStyle w:val="TableRowCentered"/>
              <w:jc w:val="left"/>
              <w:rPr>
                <w:rFonts w:cs="Calibri"/>
                <w:sz w:val="22"/>
                <w:szCs w:val="22"/>
              </w:rPr>
            </w:pPr>
            <w:r w:rsidRPr="00B033C3">
              <w:rPr>
                <w:rFonts w:cs="Calibri"/>
                <w:sz w:val="22"/>
                <w:szCs w:val="22"/>
              </w:rPr>
              <w:t>Pupils are identified swiftly and provided with support plans to meet thei</w:t>
            </w:r>
            <w:r>
              <w:rPr>
                <w:rFonts w:cs="Calibri"/>
                <w:sz w:val="22"/>
                <w:szCs w:val="22"/>
              </w:rPr>
              <w:t xml:space="preserve">r social and emotional needs. </w:t>
            </w:r>
          </w:p>
          <w:p w14:paraId="52CF8C54" w14:textId="79C1E5F6" w:rsidR="00B033C3" w:rsidRDefault="00B033C3" w:rsidP="00B033C3">
            <w:pPr>
              <w:pStyle w:val="TableRowCentered"/>
              <w:jc w:val="left"/>
              <w:rPr>
                <w:rFonts w:cs="Calibri"/>
                <w:sz w:val="22"/>
                <w:szCs w:val="22"/>
              </w:rPr>
            </w:pPr>
            <w:r>
              <w:rPr>
                <w:rFonts w:cs="Calibri"/>
                <w:sz w:val="22"/>
                <w:szCs w:val="22"/>
              </w:rPr>
              <w:t>Recorded</w:t>
            </w:r>
            <w:r w:rsidRPr="00B033C3">
              <w:rPr>
                <w:rFonts w:cs="Calibri"/>
                <w:sz w:val="22"/>
                <w:szCs w:val="22"/>
              </w:rPr>
              <w:t xml:space="preserve"> incidents</w:t>
            </w:r>
            <w:r>
              <w:rPr>
                <w:rFonts w:cs="Calibri"/>
                <w:sz w:val="22"/>
                <w:szCs w:val="22"/>
              </w:rPr>
              <w:t xml:space="preserve"> on CPOMs</w:t>
            </w:r>
            <w:r w:rsidRPr="00B033C3">
              <w:rPr>
                <w:rFonts w:cs="Calibri"/>
                <w:sz w:val="22"/>
                <w:szCs w:val="22"/>
              </w:rPr>
              <w:t xml:space="preserve"> / exclusions data </w:t>
            </w:r>
            <w:r>
              <w:rPr>
                <w:rFonts w:cs="Calibri"/>
                <w:sz w:val="22"/>
                <w:szCs w:val="22"/>
              </w:rPr>
              <w:t xml:space="preserve">shows </w:t>
            </w:r>
            <w:proofErr w:type="gramStart"/>
            <w:r>
              <w:rPr>
                <w:rFonts w:cs="Calibri"/>
                <w:sz w:val="22"/>
                <w:szCs w:val="22"/>
              </w:rPr>
              <w:t>reduction</w:t>
            </w:r>
            <w:proofErr w:type="gramEnd"/>
          </w:p>
          <w:p w14:paraId="0F044290" w14:textId="77777777" w:rsidR="00DF1C6E" w:rsidRDefault="00B033C3" w:rsidP="00B033C3">
            <w:pPr>
              <w:pStyle w:val="TableRowCentered"/>
              <w:jc w:val="left"/>
              <w:rPr>
                <w:rFonts w:cs="Calibri"/>
                <w:sz w:val="22"/>
                <w:szCs w:val="22"/>
              </w:rPr>
            </w:pPr>
            <w:r w:rsidRPr="00B033C3">
              <w:rPr>
                <w:rFonts w:cs="Calibri"/>
                <w:sz w:val="22"/>
                <w:szCs w:val="22"/>
              </w:rPr>
              <w:t xml:space="preserve">Pupils are engaged in their learning and make good progress from their starting </w:t>
            </w:r>
            <w:proofErr w:type="gramStart"/>
            <w:r w:rsidRPr="00B033C3">
              <w:rPr>
                <w:rFonts w:cs="Calibri"/>
                <w:sz w:val="22"/>
                <w:szCs w:val="22"/>
              </w:rPr>
              <w:t>points</w:t>
            </w:r>
            <w:proofErr w:type="gramEnd"/>
          </w:p>
          <w:p w14:paraId="2A7D550E" w14:textId="253639DB" w:rsidR="00B033C3" w:rsidRPr="00B033C3" w:rsidRDefault="00B033C3" w:rsidP="00B033C3">
            <w:pPr>
              <w:pStyle w:val="TableRowCentered"/>
              <w:jc w:val="left"/>
              <w:rPr>
                <w:rFonts w:cs="Calibri"/>
                <w:sz w:val="22"/>
                <w:szCs w:val="22"/>
              </w:rPr>
            </w:pPr>
            <w:r>
              <w:rPr>
                <w:rFonts w:cs="Calibri"/>
                <w:sz w:val="22"/>
                <w:szCs w:val="22"/>
              </w:rPr>
              <w:t xml:space="preserve">Families feedback that support is making a positive difference </w:t>
            </w:r>
          </w:p>
        </w:tc>
      </w:tr>
    </w:tbl>
    <w:p w14:paraId="5EADD668" w14:textId="77777777" w:rsidR="00DF1C6E" w:rsidRDefault="00DF1C6E" w:rsidP="00215EC2">
      <w:pPr>
        <w:widowControl w:val="0"/>
        <w:autoSpaceDE w:val="0"/>
        <w:adjustRightInd w:val="0"/>
        <w:jc w:val="both"/>
        <w:rPr>
          <w:rFonts w:cs="Andalus"/>
        </w:rPr>
      </w:pPr>
    </w:p>
    <w:p w14:paraId="2A7D5512" w14:textId="56DA7770" w:rsidR="00E66558" w:rsidRDefault="009D71E8">
      <w:pPr>
        <w:pStyle w:val="Heading2"/>
      </w:pPr>
      <w:r>
        <w:t>Activity in this academic year</w:t>
      </w:r>
      <w:r w:rsidR="00463F65">
        <w:t xml:space="preserve"> (21-22)</w:t>
      </w:r>
    </w:p>
    <w:p w14:paraId="2A7D5513" w14:textId="3F5E2A55" w:rsidR="00E66558" w:rsidRDefault="009D71E8">
      <w:pPr>
        <w:spacing w:after="480"/>
      </w:pPr>
      <w:r>
        <w:t>This details how we int</w:t>
      </w:r>
      <w:r w:rsidR="008A67F3">
        <w:t xml:space="preserve">end to spend our pupil premium </w:t>
      </w:r>
      <w:r>
        <w:rPr>
          <w:b/>
          <w:bCs/>
        </w:rPr>
        <w:t>this academic year</w:t>
      </w:r>
      <w:r>
        <w:t xml:space="preserve"> to address the challenges listed above.</w:t>
      </w:r>
    </w:p>
    <w:p w14:paraId="2A7D5514" w14:textId="2945A715" w:rsidR="00E66558" w:rsidRDefault="009D71E8">
      <w:pPr>
        <w:pStyle w:val="Heading3"/>
      </w:pPr>
      <w:r>
        <w:t xml:space="preserve">Teaching </w:t>
      </w:r>
    </w:p>
    <w:p w14:paraId="2A7D5515" w14:textId="3E9DC2A4" w:rsidR="00E66558" w:rsidRDefault="009D71E8">
      <w:r w:rsidRPr="0087227E">
        <w:rPr>
          <w:b/>
          <w:sz w:val="28"/>
        </w:rPr>
        <w:t xml:space="preserve">Budgeted cost: </w:t>
      </w:r>
      <w:r w:rsidR="00635D46">
        <w:rPr>
          <w:b/>
          <w:sz w:val="28"/>
        </w:rPr>
        <w:t xml:space="preserve">(around </w:t>
      </w:r>
      <w:r w:rsidR="00D97271">
        <w:rPr>
          <w:b/>
          <w:sz w:val="28"/>
        </w:rPr>
        <w:t xml:space="preserve">50% of total </w:t>
      </w:r>
      <w:proofErr w:type="gramStart"/>
      <w:r w:rsidR="00D97271">
        <w:rPr>
          <w:b/>
          <w:sz w:val="28"/>
        </w:rPr>
        <w:t>grant</w:t>
      </w:r>
      <w:r w:rsidR="00635D46">
        <w:rPr>
          <w:b/>
          <w:sz w:val="28"/>
        </w:rPr>
        <w:t xml:space="preserve">) </w:t>
      </w:r>
      <w:r w:rsidR="00D97271">
        <w:rPr>
          <w:b/>
          <w:sz w:val="28"/>
        </w:rPr>
        <w:t xml:space="preserve"> </w:t>
      </w:r>
      <w:r w:rsidRPr="0087227E">
        <w:rPr>
          <w:b/>
          <w:iCs/>
          <w:color w:val="104F75"/>
          <w:sz w:val="28"/>
          <w:szCs w:val="28"/>
        </w:rPr>
        <w:t>£</w:t>
      </w:r>
      <w:proofErr w:type="gramEnd"/>
      <w:r w:rsidR="00C52EC2">
        <w:rPr>
          <w:b/>
          <w:iCs/>
          <w:color w:val="104F75"/>
          <w:sz w:val="28"/>
          <w:szCs w:val="28"/>
        </w:rPr>
        <w:t>55,2</w:t>
      </w:r>
      <w:r w:rsidR="00B625B5">
        <w:rPr>
          <w:b/>
          <w:iCs/>
          <w:color w:val="104F75"/>
          <w:sz w:val="28"/>
          <w:szCs w:val="28"/>
        </w:rPr>
        <w:t>00</w:t>
      </w:r>
    </w:p>
    <w:tbl>
      <w:tblPr>
        <w:tblW w:w="5000" w:type="pct"/>
        <w:tblCellMar>
          <w:left w:w="10" w:type="dxa"/>
          <w:right w:w="10" w:type="dxa"/>
        </w:tblCellMar>
        <w:tblLook w:val="04A0" w:firstRow="1" w:lastRow="0" w:firstColumn="1" w:lastColumn="0" w:noHBand="0" w:noVBand="1"/>
      </w:tblPr>
      <w:tblGrid>
        <w:gridCol w:w="4248"/>
        <w:gridCol w:w="3685"/>
        <w:gridCol w:w="1553"/>
      </w:tblGrid>
      <w:tr w:rsidR="00E66558" w14:paraId="2A7D5519"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21B3" w14:textId="57644D3E" w:rsidR="00357B24" w:rsidRDefault="00357B24" w:rsidP="003676D4">
            <w:pPr>
              <w:pStyle w:val="TableRow"/>
              <w:numPr>
                <w:ilvl w:val="0"/>
                <w:numId w:val="25"/>
              </w:numPr>
            </w:pPr>
            <w:r>
              <w:t>Pupil Premium consultant</w:t>
            </w:r>
            <w:r w:rsidR="00463F65">
              <w:t xml:space="preserve"> continue to</w:t>
            </w:r>
            <w:r>
              <w:t xml:space="preserve"> </w:t>
            </w:r>
            <w:r w:rsidR="003676D4">
              <w:t xml:space="preserve">will work with the team to review </w:t>
            </w:r>
            <w:r w:rsidR="00463F65">
              <w:t xml:space="preserve">and evaluate </w:t>
            </w:r>
            <w:r w:rsidR="003676D4">
              <w:t xml:space="preserve">the </w:t>
            </w:r>
            <w:proofErr w:type="gramStart"/>
            <w:r w:rsidR="003676D4">
              <w:t>strategy</w:t>
            </w:r>
            <w:proofErr w:type="gramEnd"/>
            <w:r>
              <w:t xml:space="preserve">  </w:t>
            </w:r>
          </w:p>
          <w:p w14:paraId="2A7D551A" w14:textId="48059E9E" w:rsidR="00E66558" w:rsidRDefault="00E66558" w:rsidP="003676D4">
            <w:pPr>
              <w:pStyle w:val="TableRow"/>
              <w:ind w:left="360"/>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B291" w14:textId="745C7ACC" w:rsidR="00E66558" w:rsidRPr="007938E6" w:rsidRDefault="00733107" w:rsidP="00733107">
            <w:pPr>
              <w:pStyle w:val="ListParagraph"/>
              <w:numPr>
                <w:ilvl w:val="0"/>
                <w:numId w:val="25"/>
              </w:numPr>
              <w:autoSpaceDE w:val="0"/>
              <w:adjustRightInd w:val="0"/>
              <w:rPr>
                <w:sz w:val="22"/>
                <w:szCs w:val="20"/>
              </w:rPr>
            </w:pPr>
            <w:r w:rsidRPr="007938E6">
              <w:rPr>
                <w:sz w:val="22"/>
                <w:szCs w:val="20"/>
              </w:rPr>
              <w:t>Expert support needed to embed the SDP; an Inclusion team is needed to implement this strategy, work collaboratively and provide consistency across school.</w:t>
            </w:r>
          </w:p>
          <w:p w14:paraId="6A90943E" w14:textId="77777777" w:rsidR="00733107" w:rsidRPr="007938E6" w:rsidRDefault="00733107" w:rsidP="00733107">
            <w:pPr>
              <w:autoSpaceDE w:val="0"/>
              <w:adjustRightInd w:val="0"/>
              <w:rPr>
                <w:sz w:val="22"/>
                <w:szCs w:val="20"/>
              </w:rPr>
            </w:pPr>
          </w:p>
          <w:p w14:paraId="479408F5" w14:textId="77777777" w:rsidR="00733107" w:rsidRDefault="00733107" w:rsidP="00733107">
            <w:pPr>
              <w:autoSpaceDE w:val="0"/>
              <w:adjustRightInd w:val="0"/>
            </w:pPr>
          </w:p>
          <w:p w14:paraId="15287134" w14:textId="77777777" w:rsidR="00733107" w:rsidRDefault="00733107" w:rsidP="00733107">
            <w:pPr>
              <w:autoSpaceDE w:val="0"/>
              <w:adjustRightInd w:val="0"/>
            </w:pPr>
          </w:p>
          <w:p w14:paraId="4B8B9555" w14:textId="77777777" w:rsidR="00733107" w:rsidRDefault="00733107" w:rsidP="00733107">
            <w:pPr>
              <w:autoSpaceDE w:val="0"/>
              <w:adjustRightInd w:val="0"/>
            </w:pPr>
          </w:p>
          <w:p w14:paraId="2A7D551B" w14:textId="2945E429" w:rsidR="00733107" w:rsidRPr="00D61DB6" w:rsidRDefault="00733107" w:rsidP="00733107">
            <w:pPr>
              <w:autoSpaceDE w:val="0"/>
              <w:adjustRightInd w:val="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1B5D3F" w:rsidR="00E66558" w:rsidRPr="00357B24" w:rsidRDefault="00357B24">
            <w:pPr>
              <w:pStyle w:val="TableRowCentered"/>
              <w:jc w:val="left"/>
              <w:rPr>
                <w:b/>
                <w:sz w:val="22"/>
              </w:rPr>
            </w:pPr>
            <w:r w:rsidRPr="00357B24">
              <w:rPr>
                <w:b/>
                <w:sz w:val="22"/>
              </w:rPr>
              <w:t>1,2,3,4 &amp; 5</w:t>
            </w:r>
          </w:p>
        </w:tc>
      </w:tr>
      <w:tr w:rsidR="00D97271" w14:paraId="32E74106"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29065" w14:textId="7499348F" w:rsidR="00D97271" w:rsidRDefault="00D97271" w:rsidP="00D97271">
            <w:pPr>
              <w:pStyle w:val="TableRow"/>
            </w:pPr>
            <w:r>
              <w:t>Phonics</w:t>
            </w:r>
          </w:p>
          <w:p w14:paraId="2B31FD8F" w14:textId="7D6693D7" w:rsidR="00D97271" w:rsidRDefault="00D97271" w:rsidP="00D97271">
            <w:pPr>
              <w:pStyle w:val="TableRow"/>
              <w:numPr>
                <w:ilvl w:val="0"/>
                <w:numId w:val="25"/>
              </w:numPr>
            </w:pPr>
            <w:r>
              <w:t xml:space="preserve">CPD - Training of teachers in the effective provision of Read Write Inc across the school to improve phonics outcomes. Provision of </w:t>
            </w:r>
            <w:proofErr w:type="gramStart"/>
            <w:r>
              <w:t>high quality</w:t>
            </w:r>
            <w:proofErr w:type="gramEnd"/>
            <w:r>
              <w:t xml:space="preserve"> phonics teaching </w:t>
            </w:r>
            <w:r>
              <w:lastRenderedPageBreak/>
              <w:t>across the school. Resources to support phonics teaching.</w:t>
            </w:r>
          </w:p>
          <w:p w14:paraId="791F4E5A" w14:textId="37D91BE2" w:rsidR="00D97271" w:rsidRDefault="00D97271" w:rsidP="00D97271">
            <w:pPr>
              <w:pStyle w:val="TableRow"/>
              <w:numPr>
                <w:ilvl w:val="0"/>
                <w:numId w:val="25"/>
              </w:numPr>
            </w:pPr>
            <w:r w:rsidRPr="00D177A3">
              <w:t xml:space="preserve">We will fund </w:t>
            </w:r>
            <w:r>
              <w:t xml:space="preserve">phonics lead </w:t>
            </w:r>
            <w:r w:rsidRPr="00D177A3">
              <w:t xml:space="preserve">teacher release time to embed key elements of </w:t>
            </w:r>
            <w:r>
              <w:t>phonics across</w:t>
            </w:r>
            <w:r w:rsidRPr="00D177A3">
              <w:t xml:space="preserve"> school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D898" w14:textId="1F0F8B24" w:rsidR="00D97271" w:rsidRDefault="00D97271" w:rsidP="00D97271">
            <w:pPr>
              <w:pStyle w:val="ListParagraph"/>
              <w:numPr>
                <w:ilvl w:val="0"/>
                <w:numId w:val="25"/>
              </w:numPr>
              <w:autoSpaceDE w:val="0"/>
              <w:adjustRightInd w:val="0"/>
            </w:pPr>
            <w:r w:rsidRPr="007938E6">
              <w:rPr>
                <w:sz w:val="22"/>
                <w:szCs w:val="20"/>
              </w:rPr>
              <w:lastRenderedPageBreak/>
              <w:t xml:space="preserve">EEF: Pupil Premium decisions are most successful when individualised to each school’s own set of circumstances. An effective champion successfully advocates and champions the needs of Pupil Premium pupils and works to remove barriers to </w:t>
            </w:r>
            <w:r w:rsidRPr="007938E6">
              <w:rPr>
                <w:sz w:val="22"/>
                <w:szCs w:val="20"/>
              </w:rPr>
              <w:lastRenderedPageBreak/>
              <w:t>learning across the school community.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0979" w14:textId="325995FB" w:rsidR="00D97271" w:rsidRPr="00357B24" w:rsidRDefault="00D97271" w:rsidP="00D97271">
            <w:pPr>
              <w:pStyle w:val="TableRowCentered"/>
              <w:jc w:val="left"/>
              <w:rPr>
                <w:b/>
                <w:sz w:val="22"/>
              </w:rPr>
            </w:pPr>
            <w:r>
              <w:rPr>
                <w:b/>
                <w:sz w:val="22"/>
              </w:rPr>
              <w:lastRenderedPageBreak/>
              <w:t>2</w:t>
            </w:r>
          </w:p>
        </w:tc>
      </w:tr>
      <w:tr w:rsidR="00D97271" w14:paraId="022C6D5C"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A654" w14:textId="5EA4C561" w:rsidR="00D97271" w:rsidRDefault="00D97271" w:rsidP="00D97271">
            <w:pPr>
              <w:pStyle w:val="TableRow"/>
            </w:pPr>
            <w:r>
              <w:t>Reading</w:t>
            </w:r>
            <w:r w:rsidR="00FA7729">
              <w:t xml:space="preserve"> and Writing</w:t>
            </w:r>
          </w:p>
          <w:p w14:paraId="24B17BD5" w14:textId="612D26AE" w:rsidR="00D97271" w:rsidRDefault="00D97271" w:rsidP="00FA7729">
            <w:pPr>
              <w:pStyle w:val="TableRow"/>
            </w:pPr>
          </w:p>
          <w:p w14:paraId="563A392D" w14:textId="77777777" w:rsidR="00354D1E" w:rsidRDefault="00354D1E" w:rsidP="00354D1E">
            <w:pPr>
              <w:pStyle w:val="TableRow"/>
              <w:ind w:left="0"/>
              <w:rPr>
                <w:sz w:val="22"/>
                <w:szCs w:val="22"/>
              </w:rPr>
            </w:pPr>
            <w:r>
              <w:rPr>
                <w:sz w:val="22"/>
                <w:szCs w:val="22"/>
              </w:rPr>
              <w:t xml:space="preserve">Enhancement of our reading teaching and curriculum planning in line with DfE and EEF guidance. </w:t>
            </w:r>
          </w:p>
          <w:p w14:paraId="12B049D1" w14:textId="77777777" w:rsidR="00354D1E" w:rsidRDefault="00354D1E" w:rsidP="00354D1E">
            <w:pPr>
              <w:pStyle w:val="TableRow"/>
              <w:ind w:left="0"/>
              <w:rPr>
                <w:sz w:val="22"/>
                <w:szCs w:val="22"/>
              </w:rPr>
            </w:pPr>
          </w:p>
          <w:p w14:paraId="100CA1EF" w14:textId="7EA52671" w:rsidR="00354D1E" w:rsidRDefault="00354D1E" w:rsidP="00463F65">
            <w:pPr>
              <w:pStyle w:val="TableRow"/>
              <w:numPr>
                <w:ilvl w:val="0"/>
                <w:numId w:val="40"/>
              </w:numPr>
              <w:rPr>
                <w:sz w:val="22"/>
                <w:szCs w:val="22"/>
              </w:rPr>
            </w:pPr>
            <w:r>
              <w:rPr>
                <w:sz w:val="22"/>
                <w:szCs w:val="22"/>
              </w:rPr>
              <w:t xml:space="preserve">We will fund </w:t>
            </w:r>
            <w:r w:rsidR="00463F65">
              <w:rPr>
                <w:sz w:val="22"/>
                <w:szCs w:val="22"/>
              </w:rPr>
              <w:t xml:space="preserve">an experienced </w:t>
            </w:r>
            <w:r>
              <w:rPr>
                <w:sz w:val="22"/>
                <w:szCs w:val="22"/>
              </w:rPr>
              <w:t xml:space="preserve">teacher to </w:t>
            </w:r>
            <w:r w:rsidR="00463F65">
              <w:rPr>
                <w:sz w:val="22"/>
                <w:szCs w:val="22"/>
              </w:rPr>
              <w:t xml:space="preserve">teach, monitor progress and </w:t>
            </w:r>
            <w:r>
              <w:rPr>
                <w:sz w:val="22"/>
                <w:szCs w:val="22"/>
              </w:rPr>
              <w:t xml:space="preserve">embed key elements of guidance in school (including </w:t>
            </w:r>
            <w:proofErr w:type="gramStart"/>
            <w:r>
              <w:rPr>
                <w:sz w:val="22"/>
                <w:szCs w:val="22"/>
              </w:rPr>
              <w:t>The</w:t>
            </w:r>
            <w:proofErr w:type="gramEnd"/>
            <w:r>
              <w:rPr>
                <w:sz w:val="22"/>
                <w:szCs w:val="22"/>
              </w:rPr>
              <w:t xml:space="preserve"> reading framework – teaching the foundations of literacy 2021) </w:t>
            </w:r>
          </w:p>
          <w:p w14:paraId="4FACFA7B" w14:textId="01C6E9C2" w:rsidR="00354D1E" w:rsidRDefault="00354D1E" w:rsidP="00463F65">
            <w:pPr>
              <w:pStyle w:val="TableRow"/>
              <w:numPr>
                <w:ilvl w:val="0"/>
                <w:numId w:val="39"/>
              </w:numPr>
              <w:rPr>
                <w:sz w:val="22"/>
                <w:szCs w:val="22"/>
              </w:rPr>
            </w:pPr>
            <w:r>
              <w:rPr>
                <w:sz w:val="22"/>
                <w:szCs w:val="22"/>
              </w:rPr>
              <w:t xml:space="preserve">We will commission a LA Health Check to critically evaluate our current reading teaching and curriculum </w:t>
            </w:r>
            <w:proofErr w:type="gramStart"/>
            <w:r>
              <w:rPr>
                <w:sz w:val="22"/>
                <w:szCs w:val="22"/>
              </w:rPr>
              <w:t>planning</w:t>
            </w:r>
            <w:proofErr w:type="gramEnd"/>
            <w:r>
              <w:rPr>
                <w:sz w:val="22"/>
                <w:szCs w:val="22"/>
              </w:rPr>
              <w:t xml:space="preserve"> </w:t>
            </w:r>
          </w:p>
          <w:p w14:paraId="027B0EFB" w14:textId="77777777" w:rsidR="00463F65" w:rsidRPr="00463F65" w:rsidRDefault="00354D1E" w:rsidP="00463F65">
            <w:pPr>
              <w:pStyle w:val="TableRow"/>
              <w:numPr>
                <w:ilvl w:val="0"/>
                <w:numId w:val="38"/>
              </w:numPr>
            </w:pPr>
            <w:r>
              <w:rPr>
                <w:sz w:val="22"/>
                <w:szCs w:val="22"/>
              </w:rPr>
              <w:t>Reading and writing leads in school have additional subject leadership time to develop, monitor and evaluate.</w:t>
            </w:r>
          </w:p>
          <w:p w14:paraId="2900AAE1" w14:textId="77777777" w:rsidR="00463F65" w:rsidRPr="00463F65" w:rsidRDefault="004C7FC9" w:rsidP="00463F65">
            <w:pPr>
              <w:pStyle w:val="TableRow"/>
              <w:numPr>
                <w:ilvl w:val="0"/>
                <w:numId w:val="38"/>
              </w:numPr>
            </w:pPr>
            <w:r w:rsidRPr="00463F65">
              <w:rPr>
                <w:sz w:val="22"/>
                <w:szCs w:val="22"/>
              </w:rPr>
              <w:t xml:space="preserve">All teachers will be fully aware of the children in their class who represent the lowest 20% in Reading, Writing and SPAG. </w:t>
            </w:r>
          </w:p>
          <w:p w14:paraId="262F7DF6" w14:textId="2911C008" w:rsidR="004C7FC9" w:rsidRPr="00463F65" w:rsidRDefault="004C7FC9" w:rsidP="00463F65">
            <w:pPr>
              <w:pStyle w:val="TableRow"/>
              <w:numPr>
                <w:ilvl w:val="0"/>
                <w:numId w:val="38"/>
              </w:numPr>
            </w:pPr>
            <w:r w:rsidRPr="00463F65">
              <w:rPr>
                <w:sz w:val="22"/>
                <w:szCs w:val="22"/>
              </w:rPr>
              <w:t xml:space="preserve">All children will undergo a benchmark assessment for Reading and SPAG </w:t>
            </w:r>
            <w:r w:rsidR="00354D1E" w:rsidRPr="00463F65">
              <w:rPr>
                <w:sz w:val="22"/>
                <w:szCs w:val="22"/>
              </w:rPr>
              <w:t xml:space="preserve">using </w:t>
            </w:r>
            <w:r w:rsidRPr="00463F65">
              <w:rPr>
                <w:sz w:val="22"/>
                <w:szCs w:val="22"/>
              </w:rPr>
              <w:t>‘</w:t>
            </w:r>
            <w:r w:rsidR="00354D1E" w:rsidRPr="00463F65">
              <w:rPr>
                <w:sz w:val="22"/>
                <w:szCs w:val="22"/>
              </w:rPr>
              <w:t>Rising Stars Assessment Tests’.</w:t>
            </w:r>
          </w:p>
          <w:p w14:paraId="7919603A" w14:textId="77777777" w:rsidR="004C7FC9" w:rsidRDefault="004C7FC9" w:rsidP="00354D1E">
            <w:pPr>
              <w:spacing w:after="160"/>
            </w:pPr>
          </w:p>
          <w:p w14:paraId="5C8E5831" w14:textId="77777777" w:rsidR="00D97271" w:rsidRDefault="00D97271" w:rsidP="00D97271">
            <w:pPr>
              <w:pStyle w:val="TableRow"/>
            </w:pPr>
          </w:p>
          <w:p w14:paraId="0D01E41C" w14:textId="77777777" w:rsidR="00D97271" w:rsidRDefault="00D97271" w:rsidP="00D97271">
            <w:pPr>
              <w:pStyle w:val="TableRow"/>
            </w:pPr>
          </w:p>
          <w:p w14:paraId="14FDDAB9" w14:textId="77777777" w:rsidR="00D97271" w:rsidRDefault="00D97271" w:rsidP="00D97271">
            <w:pPr>
              <w:pStyle w:val="TableRow"/>
            </w:pPr>
          </w:p>
          <w:p w14:paraId="1BEAE701" w14:textId="77777777" w:rsidR="00D97271" w:rsidRDefault="00D97271" w:rsidP="00D97271">
            <w:pPr>
              <w:pStyle w:val="TableRow"/>
            </w:pPr>
          </w:p>
          <w:p w14:paraId="2DFEC584" w14:textId="77777777" w:rsidR="00D97271" w:rsidRDefault="00D97271" w:rsidP="00D97271">
            <w:pPr>
              <w:pStyle w:val="TableRow"/>
            </w:pPr>
          </w:p>
          <w:p w14:paraId="32D97565" w14:textId="77777777" w:rsidR="00D97271" w:rsidRDefault="00D97271" w:rsidP="00D97271">
            <w:pPr>
              <w:pStyle w:val="TableRow"/>
            </w:pPr>
          </w:p>
          <w:p w14:paraId="511BE96A" w14:textId="77777777" w:rsidR="00D97271" w:rsidRDefault="00D97271" w:rsidP="00D97271">
            <w:pPr>
              <w:pStyle w:val="TableRow"/>
            </w:pPr>
          </w:p>
          <w:p w14:paraId="212FB951" w14:textId="77777777" w:rsidR="00D97271" w:rsidRDefault="00D97271" w:rsidP="00D97271">
            <w:pPr>
              <w:pStyle w:val="TableRow"/>
            </w:pPr>
          </w:p>
          <w:p w14:paraId="10C636CE" w14:textId="20E58BC5" w:rsidR="00D97271" w:rsidRDefault="00D97271" w:rsidP="00D97271">
            <w:pPr>
              <w:pStyle w:val="TableRow"/>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F5B9" w14:textId="77777777" w:rsidR="00354D1E" w:rsidRDefault="00354D1E" w:rsidP="00354D1E">
            <w:pPr>
              <w:pStyle w:val="TableRowCentered"/>
              <w:jc w:val="left"/>
              <w:rPr>
                <w:sz w:val="22"/>
              </w:rPr>
            </w:pPr>
            <w:r>
              <w:rPr>
                <w:sz w:val="22"/>
              </w:rPr>
              <w:t xml:space="preserve">The DfE non-statutory guidance has been produced in conjunction with literacy experts and school leaders, many of whom are part of English Hubs programme. </w:t>
            </w:r>
          </w:p>
          <w:p w14:paraId="3A5AAF3F" w14:textId="77777777" w:rsidR="00354D1E" w:rsidRDefault="00354D1E" w:rsidP="00354D1E">
            <w:pPr>
              <w:pStyle w:val="TableRowCentered"/>
              <w:jc w:val="left"/>
              <w:rPr>
                <w:sz w:val="22"/>
              </w:rPr>
            </w:pPr>
          </w:p>
          <w:p w14:paraId="4401D316" w14:textId="77777777" w:rsidR="00354D1E" w:rsidRDefault="00E9140C" w:rsidP="00354D1E">
            <w:pPr>
              <w:pStyle w:val="TableRowCentered"/>
              <w:jc w:val="left"/>
              <w:rPr>
                <w:color w:val="0070C0"/>
                <w:sz w:val="22"/>
                <w:u w:val="single"/>
              </w:rPr>
            </w:pPr>
            <w:hyperlink r:id="rId8" w:history="1">
              <w:r w:rsidR="00354D1E" w:rsidRPr="008B25DC">
                <w:rPr>
                  <w:rStyle w:val="Hyperlink"/>
                  <w:sz w:val="22"/>
                </w:rPr>
                <w:t>The reading framework – Teaching the foundations of literacy</w:t>
              </w:r>
            </w:hyperlink>
            <w:r w:rsidR="00354D1E" w:rsidRPr="008B25DC">
              <w:rPr>
                <w:color w:val="0070C0"/>
                <w:sz w:val="22"/>
                <w:u w:val="single"/>
              </w:rPr>
              <w:t xml:space="preserve"> </w:t>
            </w:r>
          </w:p>
          <w:p w14:paraId="150BCC9C" w14:textId="77777777" w:rsidR="00354D1E" w:rsidRDefault="00354D1E" w:rsidP="00354D1E">
            <w:pPr>
              <w:pStyle w:val="TableRowCentered"/>
              <w:jc w:val="left"/>
              <w:rPr>
                <w:color w:val="0070C0"/>
                <w:sz w:val="22"/>
                <w:u w:val="single"/>
              </w:rPr>
            </w:pPr>
          </w:p>
          <w:p w14:paraId="00B53971" w14:textId="77777777" w:rsidR="00354D1E" w:rsidRDefault="00354D1E" w:rsidP="00354D1E">
            <w:pPr>
              <w:pStyle w:val="TableRowCentered"/>
              <w:jc w:val="left"/>
              <w:rPr>
                <w:color w:val="auto"/>
                <w:sz w:val="22"/>
              </w:rPr>
            </w:pPr>
            <w:r>
              <w:rPr>
                <w:color w:val="auto"/>
                <w:sz w:val="22"/>
              </w:rPr>
              <w:t xml:space="preserve">The EEF guidance is based on a range of the best possible evidence. </w:t>
            </w:r>
          </w:p>
          <w:p w14:paraId="43696371" w14:textId="77777777" w:rsidR="00354D1E" w:rsidRDefault="00354D1E" w:rsidP="00354D1E">
            <w:pPr>
              <w:pStyle w:val="TableRowCentered"/>
              <w:jc w:val="left"/>
              <w:rPr>
                <w:color w:val="auto"/>
                <w:sz w:val="22"/>
              </w:rPr>
            </w:pPr>
          </w:p>
          <w:p w14:paraId="3D18B327" w14:textId="77777777" w:rsidR="00354D1E" w:rsidRPr="00FE5178" w:rsidRDefault="00354D1E" w:rsidP="00354D1E">
            <w:pPr>
              <w:pStyle w:val="TableRowCentered"/>
              <w:jc w:val="left"/>
              <w:rPr>
                <w:rStyle w:val="Hyperlink"/>
                <w:sz w:val="22"/>
              </w:rPr>
            </w:pPr>
            <w:r>
              <w:rPr>
                <w:color w:val="auto"/>
                <w:sz w:val="22"/>
              </w:rPr>
              <w:fldChar w:fldCharType="begin"/>
            </w:r>
            <w:r>
              <w:rPr>
                <w:color w:val="auto"/>
                <w:sz w:val="22"/>
              </w:rPr>
              <w:instrText xml:space="preserve"> HYPERLINK "https://educationendowmentfoundation.org.uk/education-evidence/guidance-reports/literacy-ks-1" </w:instrText>
            </w:r>
            <w:r>
              <w:rPr>
                <w:color w:val="auto"/>
                <w:sz w:val="22"/>
              </w:rPr>
            </w:r>
            <w:r>
              <w:rPr>
                <w:color w:val="auto"/>
                <w:sz w:val="22"/>
              </w:rPr>
              <w:fldChar w:fldCharType="separate"/>
            </w:r>
            <w:r w:rsidRPr="00FE5178">
              <w:rPr>
                <w:rStyle w:val="Hyperlink"/>
                <w:sz w:val="22"/>
              </w:rPr>
              <w:t xml:space="preserve">Improving Literacy in Key Stage 1 </w:t>
            </w:r>
          </w:p>
          <w:p w14:paraId="779DC0F2" w14:textId="77777777" w:rsidR="00354D1E" w:rsidRDefault="00354D1E" w:rsidP="00354D1E">
            <w:pPr>
              <w:pStyle w:val="TableRowCentered"/>
              <w:jc w:val="left"/>
              <w:rPr>
                <w:color w:val="auto"/>
                <w:sz w:val="22"/>
              </w:rPr>
            </w:pPr>
            <w:r>
              <w:rPr>
                <w:color w:val="auto"/>
                <w:sz w:val="22"/>
              </w:rPr>
              <w:fldChar w:fldCharType="end"/>
            </w:r>
          </w:p>
          <w:p w14:paraId="7A0005B0" w14:textId="77777777" w:rsidR="00354D1E" w:rsidRDefault="00E9140C" w:rsidP="00354D1E">
            <w:pPr>
              <w:pStyle w:val="TableRowCentered"/>
              <w:jc w:val="left"/>
              <w:rPr>
                <w:rStyle w:val="Hyperlink"/>
                <w:sz w:val="22"/>
              </w:rPr>
            </w:pPr>
            <w:hyperlink r:id="rId9" w:history="1">
              <w:r w:rsidR="00354D1E" w:rsidRPr="00FE5178">
                <w:rPr>
                  <w:rStyle w:val="Hyperlink"/>
                  <w:sz w:val="22"/>
                </w:rPr>
                <w:t>Improving Literacy in Key Stage 2</w:t>
              </w:r>
            </w:hyperlink>
          </w:p>
          <w:p w14:paraId="6DE721DA" w14:textId="77777777" w:rsidR="00354D1E" w:rsidRDefault="00354D1E" w:rsidP="00354D1E">
            <w:pPr>
              <w:pStyle w:val="TableRowCentered"/>
              <w:jc w:val="left"/>
              <w:rPr>
                <w:rStyle w:val="Hyperlink"/>
                <w:sz w:val="22"/>
              </w:rPr>
            </w:pPr>
          </w:p>
          <w:p w14:paraId="570A9E35" w14:textId="77777777" w:rsidR="00354D1E" w:rsidRDefault="00354D1E" w:rsidP="00354D1E">
            <w:pPr>
              <w:pStyle w:val="TableRow"/>
              <w:rPr>
                <w:sz w:val="22"/>
                <w:szCs w:val="22"/>
              </w:rPr>
            </w:pPr>
            <w:r>
              <w:rPr>
                <w:sz w:val="22"/>
                <w:szCs w:val="22"/>
              </w:rPr>
              <w:t>The EEF guidance states that e</w:t>
            </w:r>
            <w:r w:rsidRPr="00476793">
              <w:rPr>
                <w:sz w:val="22"/>
                <w:szCs w:val="22"/>
              </w:rPr>
              <w:t>vidence from across the English school system shows that using your pupil premium funding to improve teaching quality is the most effective way to improve outcomes for disadvantaged pupils. By doing so, you will inevitably benefit non-eligible pupils as well.</w:t>
            </w:r>
          </w:p>
          <w:p w14:paraId="4D643464" w14:textId="77777777" w:rsidR="00354D1E" w:rsidRDefault="00E9140C" w:rsidP="00354D1E">
            <w:pPr>
              <w:pStyle w:val="TableRowCentered"/>
              <w:ind w:left="0"/>
              <w:jc w:val="left"/>
              <w:rPr>
                <w:color w:val="auto"/>
                <w:sz w:val="22"/>
              </w:rPr>
            </w:pPr>
            <w:hyperlink r:id="rId10" w:history="1">
              <w:r w:rsidR="00354D1E" w:rsidRPr="00476793">
                <w:rPr>
                  <w:rStyle w:val="Hyperlink"/>
                  <w:sz w:val="22"/>
                </w:rPr>
                <w:t>Using your pupil premium funding effectively – Education Endowment Foundation</w:t>
              </w:r>
            </w:hyperlink>
            <w:r w:rsidR="00354D1E" w:rsidRPr="00476793">
              <w:rPr>
                <w:color w:val="auto"/>
                <w:sz w:val="22"/>
              </w:rPr>
              <w:t xml:space="preserve"> </w:t>
            </w:r>
          </w:p>
          <w:p w14:paraId="1F3147D7" w14:textId="77777777" w:rsidR="00D97271" w:rsidRDefault="00D97271" w:rsidP="00354D1E">
            <w:pPr>
              <w:autoSpaceDE w:val="0"/>
              <w:adjustRightInd w:val="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D620" w14:textId="276B5E9E" w:rsidR="00D97271" w:rsidRPr="00357B24" w:rsidRDefault="00CE1081" w:rsidP="00D97271">
            <w:pPr>
              <w:pStyle w:val="TableRowCentered"/>
              <w:jc w:val="left"/>
              <w:rPr>
                <w:b/>
                <w:sz w:val="22"/>
              </w:rPr>
            </w:pPr>
            <w:r>
              <w:rPr>
                <w:b/>
                <w:sz w:val="22"/>
              </w:rPr>
              <w:t>3</w:t>
            </w:r>
            <w:r w:rsidR="00FA7729">
              <w:rPr>
                <w:b/>
                <w:sz w:val="22"/>
              </w:rPr>
              <w:t>, 4</w:t>
            </w:r>
          </w:p>
        </w:tc>
      </w:tr>
      <w:tr w:rsidR="00D97271" w14:paraId="6A8B320F"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78A3" w14:textId="46F040EA" w:rsidR="00354D1E" w:rsidRDefault="00354D1E" w:rsidP="00354D1E">
            <w:pPr>
              <w:pStyle w:val="TableRow"/>
              <w:rPr>
                <w:sz w:val="22"/>
                <w:szCs w:val="22"/>
              </w:rPr>
            </w:pPr>
            <w:r>
              <w:rPr>
                <w:sz w:val="22"/>
                <w:szCs w:val="22"/>
              </w:rPr>
              <w:t xml:space="preserve">Quality Assurance that our high standards for high quality teaching, in </w:t>
            </w:r>
            <w:r>
              <w:rPr>
                <w:sz w:val="22"/>
                <w:szCs w:val="22"/>
              </w:rPr>
              <w:lastRenderedPageBreak/>
              <w:t xml:space="preserve">line with our Teaching and Learning Policy are embedded. </w:t>
            </w:r>
          </w:p>
          <w:p w14:paraId="09F73DF5" w14:textId="77777777" w:rsidR="00354D1E" w:rsidRDefault="00354D1E" w:rsidP="00354D1E">
            <w:pPr>
              <w:pStyle w:val="TableRow"/>
              <w:rPr>
                <w:sz w:val="22"/>
                <w:szCs w:val="22"/>
              </w:rPr>
            </w:pPr>
          </w:p>
          <w:p w14:paraId="3923C282" w14:textId="3CFB412E" w:rsidR="00354D1E" w:rsidRDefault="00354D1E" w:rsidP="00354D1E">
            <w:pPr>
              <w:pStyle w:val="TableRow"/>
              <w:rPr>
                <w:sz w:val="22"/>
                <w:szCs w:val="22"/>
              </w:rPr>
            </w:pPr>
            <w:r>
              <w:rPr>
                <w:sz w:val="22"/>
                <w:szCs w:val="22"/>
              </w:rPr>
              <w:t xml:space="preserve">Assistant Head Teacher for EYFS and KS1 </w:t>
            </w:r>
            <w:r w:rsidR="00463F65">
              <w:rPr>
                <w:sz w:val="22"/>
                <w:szCs w:val="22"/>
              </w:rPr>
              <w:t>and KS2 AHT have</w:t>
            </w:r>
            <w:r>
              <w:rPr>
                <w:sz w:val="22"/>
                <w:szCs w:val="22"/>
              </w:rPr>
              <w:t xml:space="preserve"> dedicated weekly release time. </w:t>
            </w:r>
          </w:p>
          <w:p w14:paraId="2BE9BF08" w14:textId="77777777" w:rsidR="00354D1E" w:rsidRDefault="00354D1E" w:rsidP="00354D1E">
            <w:pPr>
              <w:pStyle w:val="TableRow"/>
              <w:rPr>
                <w:sz w:val="22"/>
                <w:szCs w:val="22"/>
              </w:rPr>
            </w:pPr>
          </w:p>
          <w:p w14:paraId="41526C86" w14:textId="77777777" w:rsidR="00354D1E" w:rsidRDefault="00354D1E" w:rsidP="00354D1E">
            <w:pPr>
              <w:pStyle w:val="TableRow"/>
              <w:rPr>
                <w:sz w:val="22"/>
                <w:szCs w:val="22"/>
              </w:rPr>
            </w:pPr>
            <w:r>
              <w:rPr>
                <w:sz w:val="22"/>
                <w:szCs w:val="22"/>
              </w:rPr>
              <w:t>Subject leaders have CPD to support their role development and dedicated release time.</w:t>
            </w:r>
          </w:p>
          <w:p w14:paraId="283018D8" w14:textId="2695B31A" w:rsidR="00D97271" w:rsidRDefault="00D97271" w:rsidP="00354D1E">
            <w:pPr>
              <w:pStyle w:val="TableRow"/>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8BA4" w14:textId="77777777" w:rsidR="00354D1E" w:rsidRDefault="00354D1E" w:rsidP="00354D1E">
            <w:pPr>
              <w:pStyle w:val="TableRow"/>
              <w:rPr>
                <w:sz w:val="22"/>
                <w:szCs w:val="22"/>
              </w:rPr>
            </w:pPr>
            <w:r>
              <w:rPr>
                <w:sz w:val="22"/>
                <w:szCs w:val="22"/>
              </w:rPr>
              <w:lastRenderedPageBreak/>
              <w:t>The EEF guidance states that e</w:t>
            </w:r>
            <w:r w:rsidRPr="00476793">
              <w:rPr>
                <w:sz w:val="22"/>
                <w:szCs w:val="22"/>
              </w:rPr>
              <w:t xml:space="preserve">vidence from across the English school system shows that using </w:t>
            </w:r>
            <w:r w:rsidRPr="00476793">
              <w:rPr>
                <w:sz w:val="22"/>
                <w:szCs w:val="22"/>
              </w:rPr>
              <w:lastRenderedPageBreak/>
              <w:t>your pupil premium funding to improve teaching quality is the most effective way to improve outcomes for disadvantaged pupils. By doing so, you will inevitably benefit non-eligible pupils as well.</w:t>
            </w:r>
          </w:p>
          <w:p w14:paraId="1233E11B" w14:textId="77777777" w:rsidR="00354D1E" w:rsidRPr="00476793" w:rsidRDefault="00354D1E" w:rsidP="00354D1E">
            <w:pPr>
              <w:pStyle w:val="TableRow"/>
              <w:rPr>
                <w:sz w:val="22"/>
                <w:szCs w:val="22"/>
              </w:rPr>
            </w:pPr>
          </w:p>
          <w:p w14:paraId="6B4F8A12" w14:textId="77777777" w:rsidR="00354D1E" w:rsidRDefault="00E9140C" w:rsidP="00354D1E">
            <w:pPr>
              <w:pStyle w:val="TableRowCentered"/>
              <w:jc w:val="left"/>
              <w:rPr>
                <w:color w:val="auto"/>
                <w:sz w:val="22"/>
              </w:rPr>
            </w:pPr>
            <w:hyperlink r:id="rId11" w:history="1">
              <w:r w:rsidR="00354D1E" w:rsidRPr="00476793">
                <w:rPr>
                  <w:rStyle w:val="Hyperlink"/>
                  <w:sz w:val="22"/>
                </w:rPr>
                <w:t>Using your pupil premium funding effectively – Education Endowment Foundation</w:t>
              </w:r>
            </w:hyperlink>
            <w:r w:rsidR="00354D1E" w:rsidRPr="00476793">
              <w:rPr>
                <w:color w:val="auto"/>
                <w:sz w:val="22"/>
              </w:rPr>
              <w:t xml:space="preserve"> </w:t>
            </w:r>
          </w:p>
          <w:p w14:paraId="5835D628" w14:textId="77777777" w:rsidR="00D97271" w:rsidRDefault="00D97271" w:rsidP="00354D1E">
            <w:pPr>
              <w:autoSpaceDE w:val="0"/>
              <w:adjustRightInd w:val="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A582" w14:textId="3F284265" w:rsidR="00D97271" w:rsidRPr="00357B24" w:rsidRDefault="00354D1E" w:rsidP="00D97271">
            <w:pPr>
              <w:pStyle w:val="TableRowCentered"/>
              <w:jc w:val="left"/>
              <w:rPr>
                <w:b/>
                <w:sz w:val="22"/>
              </w:rPr>
            </w:pPr>
            <w:r>
              <w:rPr>
                <w:b/>
                <w:sz w:val="22"/>
              </w:rPr>
              <w:lastRenderedPageBreak/>
              <w:t>2, 3, 4</w:t>
            </w:r>
          </w:p>
        </w:tc>
      </w:tr>
      <w:tr w:rsidR="00354D1E" w14:paraId="44AAD58C" w14:textId="77777777" w:rsidTr="00357B2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3F8E" w14:textId="77777777" w:rsidR="00354D1E" w:rsidRPr="00354D1E" w:rsidRDefault="00354D1E" w:rsidP="00354D1E">
            <w:pPr>
              <w:suppressAutoHyphens/>
              <w:spacing w:before="60" w:after="60"/>
              <w:ind w:left="57" w:right="57"/>
              <w:rPr>
                <w:sz w:val="22"/>
                <w:szCs w:val="22"/>
              </w:rPr>
            </w:pPr>
            <w:r w:rsidRPr="00354D1E">
              <w:rPr>
                <w:sz w:val="22"/>
                <w:szCs w:val="22"/>
              </w:rPr>
              <w:t xml:space="preserve">All teachers to access high quality, relevant CPD. </w:t>
            </w:r>
          </w:p>
          <w:p w14:paraId="4A8D0493" w14:textId="77777777" w:rsidR="00354D1E" w:rsidRPr="00354D1E" w:rsidRDefault="00354D1E" w:rsidP="00354D1E">
            <w:pPr>
              <w:suppressAutoHyphens/>
              <w:spacing w:before="60" w:after="60"/>
              <w:ind w:left="57" w:right="57"/>
              <w:rPr>
                <w:sz w:val="22"/>
                <w:szCs w:val="22"/>
              </w:rPr>
            </w:pPr>
          </w:p>
          <w:p w14:paraId="0DA1DEB6" w14:textId="06E4235E" w:rsidR="00354D1E" w:rsidRDefault="00354D1E" w:rsidP="00354D1E">
            <w:pPr>
              <w:pStyle w:val="TableRow"/>
              <w:rPr>
                <w:sz w:val="22"/>
                <w:szCs w:val="22"/>
              </w:rPr>
            </w:pPr>
            <w:r w:rsidRPr="00354D1E">
              <w:rPr>
                <w:sz w:val="22"/>
                <w:szCs w:val="22"/>
              </w:rPr>
              <w:t>Ensure teachers have sufficient time to engage in CPD activities which are systematically planned in line with whole school priorities and reflect individual</w:t>
            </w:r>
            <w:r w:rsidR="009A1E48">
              <w:rPr>
                <w:sz w:val="22"/>
                <w:szCs w:val="22"/>
              </w:rPr>
              <w:t xml:space="preserve"> teacher </w:t>
            </w:r>
            <w:r w:rsidRPr="00354D1E">
              <w:rPr>
                <w:sz w:val="22"/>
                <w:szCs w:val="22"/>
              </w:rPr>
              <w:t>career stage development.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8FB3" w14:textId="77777777" w:rsidR="00354D1E" w:rsidRPr="00354D1E" w:rsidRDefault="00354D1E" w:rsidP="00354D1E">
            <w:pPr>
              <w:suppressAutoHyphens/>
              <w:spacing w:before="60" w:after="60"/>
              <w:ind w:left="57" w:right="57"/>
              <w:rPr>
                <w:color w:val="auto"/>
                <w:sz w:val="22"/>
                <w:szCs w:val="20"/>
              </w:rPr>
            </w:pPr>
            <w:r w:rsidRPr="00354D1E">
              <w:rPr>
                <w:color w:val="auto"/>
                <w:sz w:val="22"/>
                <w:szCs w:val="20"/>
              </w:rPr>
              <w:t xml:space="preserve">The best available evidence indicates that great teaching is the most important lever schools </w:t>
            </w:r>
            <w:proofErr w:type="gramStart"/>
            <w:r w:rsidRPr="00354D1E">
              <w:rPr>
                <w:color w:val="auto"/>
                <w:sz w:val="22"/>
                <w:szCs w:val="20"/>
              </w:rPr>
              <w:t>have to</w:t>
            </w:r>
            <w:proofErr w:type="gramEnd"/>
            <w:r w:rsidRPr="00354D1E">
              <w:rPr>
                <w:color w:val="auto"/>
                <w:sz w:val="22"/>
                <w:szCs w:val="20"/>
              </w:rPr>
              <w:t xml:space="preserve"> improve pupil attainment. </w:t>
            </w:r>
          </w:p>
          <w:p w14:paraId="4BE4AB08" w14:textId="77777777" w:rsidR="00354D1E" w:rsidRPr="00354D1E" w:rsidRDefault="00354D1E" w:rsidP="00354D1E">
            <w:pPr>
              <w:suppressAutoHyphens/>
              <w:spacing w:before="60" w:after="60"/>
              <w:ind w:left="57" w:right="57"/>
              <w:rPr>
                <w:color w:val="auto"/>
                <w:sz w:val="22"/>
                <w:szCs w:val="20"/>
              </w:rPr>
            </w:pPr>
          </w:p>
          <w:p w14:paraId="1E82260E" w14:textId="77777777" w:rsidR="00354D1E" w:rsidRPr="00354D1E" w:rsidRDefault="00E9140C" w:rsidP="00354D1E">
            <w:pPr>
              <w:suppressAutoHyphens/>
              <w:spacing w:before="60" w:after="60"/>
              <w:ind w:left="57" w:right="57"/>
              <w:rPr>
                <w:color w:val="auto"/>
                <w:sz w:val="22"/>
                <w:szCs w:val="20"/>
              </w:rPr>
            </w:pPr>
            <w:hyperlink r:id="rId12" w:history="1">
              <w:r w:rsidR="00354D1E" w:rsidRPr="00354D1E">
                <w:rPr>
                  <w:color w:val="0000FF"/>
                  <w:sz w:val="22"/>
                  <w:szCs w:val="20"/>
                  <w:u w:val="single"/>
                </w:rPr>
                <w:t>The EEF Toolkit: High Quality Teaching</w:t>
              </w:r>
            </w:hyperlink>
            <w:r w:rsidR="00354D1E" w:rsidRPr="00354D1E">
              <w:rPr>
                <w:color w:val="auto"/>
                <w:sz w:val="22"/>
                <w:szCs w:val="20"/>
              </w:rPr>
              <w:t xml:space="preserve"> </w:t>
            </w:r>
          </w:p>
          <w:p w14:paraId="15E99F5F" w14:textId="77777777" w:rsidR="00354D1E" w:rsidRDefault="00354D1E" w:rsidP="00354D1E">
            <w:pPr>
              <w:pStyle w:val="TableRow"/>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BC47" w14:textId="2E3ADF2E" w:rsidR="00354D1E" w:rsidRDefault="009A1E48" w:rsidP="00D97271">
            <w:pPr>
              <w:pStyle w:val="TableRowCentered"/>
              <w:jc w:val="left"/>
              <w:rPr>
                <w:b/>
                <w:sz w:val="22"/>
              </w:rPr>
            </w:pPr>
            <w:r>
              <w:rPr>
                <w:b/>
                <w:sz w:val="22"/>
              </w:rPr>
              <w:t>2, 3, 4</w:t>
            </w:r>
          </w:p>
        </w:tc>
      </w:tr>
    </w:tbl>
    <w:p w14:paraId="2A7D5522" w14:textId="77777777" w:rsidR="00E66558" w:rsidRDefault="00E66558">
      <w:pPr>
        <w:keepNext/>
        <w:spacing w:after="60"/>
        <w:outlineLvl w:val="1"/>
      </w:pPr>
    </w:p>
    <w:p w14:paraId="56A800B4" w14:textId="77777777" w:rsidR="009A1E48" w:rsidRDefault="009A1E48">
      <w:pPr>
        <w:rPr>
          <w:b/>
          <w:bCs/>
          <w:color w:val="104F75"/>
          <w:sz w:val="28"/>
          <w:szCs w:val="28"/>
        </w:rPr>
      </w:pPr>
    </w:p>
    <w:p w14:paraId="25CAD2D1" w14:textId="77777777" w:rsidR="009A1E48" w:rsidRDefault="009A1E48">
      <w:pPr>
        <w:rPr>
          <w:b/>
          <w:bCs/>
          <w:color w:val="104F75"/>
          <w:sz w:val="28"/>
          <w:szCs w:val="28"/>
        </w:rPr>
      </w:pPr>
    </w:p>
    <w:p w14:paraId="2A7D5523" w14:textId="38EE374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CA5389" w:rsidR="00E66558" w:rsidRDefault="009D71E8">
      <w:r w:rsidRPr="0087227E">
        <w:rPr>
          <w:b/>
          <w:sz w:val="28"/>
        </w:rPr>
        <w:t>Budgeted cost:</w:t>
      </w:r>
      <w:r w:rsidR="00635D46" w:rsidRPr="00635D46">
        <w:rPr>
          <w:b/>
          <w:sz w:val="28"/>
        </w:rPr>
        <w:t xml:space="preserve"> </w:t>
      </w:r>
      <w:r w:rsidR="00635D46">
        <w:rPr>
          <w:b/>
          <w:sz w:val="28"/>
        </w:rPr>
        <w:t xml:space="preserve">(around 25% of total </w:t>
      </w:r>
      <w:proofErr w:type="gramStart"/>
      <w:r w:rsidR="00635D46">
        <w:rPr>
          <w:b/>
          <w:sz w:val="28"/>
        </w:rPr>
        <w:t>grant)</w:t>
      </w:r>
      <w:r w:rsidR="00635D46" w:rsidRPr="00C61129">
        <w:rPr>
          <w:b/>
          <w:iCs/>
          <w:color w:val="104F75"/>
          <w:sz w:val="28"/>
          <w:szCs w:val="28"/>
        </w:rPr>
        <w:t xml:space="preserve"> </w:t>
      </w:r>
      <w:r>
        <w:t xml:space="preserve"> </w:t>
      </w:r>
      <w:r w:rsidRPr="0087227E">
        <w:rPr>
          <w:b/>
          <w:iCs/>
          <w:color w:val="104F75"/>
          <w:sz w:val="28"/>
          <w:szCs w:val="28"/>
        </w:rPr>
        <w:t>£</w:t>
      </w:r>
      <w:proofErr w:type="gramEnd"/>
      <w:r w:rsidRPr="0087227E">
        <w:rPr>
          <w:b/>
          <w:iCs/>
          <w:color w:val="104F75"/>
          <w:sz w:val="28"/>
          <w:szCs w:val="28"/>
        </w:rPr>
        <w:t xml:space="preserve"> </w:t>
      </w:r>
      <w:r w:rsidR="00C52EC2">
        <w:rPr>
          <w:b/>
          <w:iCs/>
          <w:color w:val="104F75"/>
          <w:sz w:val="28"/>
          <w:szCs w:val="28"/>
        </w:rPr>
        <w:t>27,600</w:t>
      </w:r>
    </w:p>
    <w:tbl>
      <w:tblPr>
        <w:tblW w:w="5000" w:type="pct"/>
        <w:tblLayout w:type="fixed"/>
        <w:tblCellMar>
          <w:left w:w="10" w:type="dxa"/>
          <w:right w:w="10" w:type="dxa"/>
        </w:tblCellMar>
        <w:tblLook w:val="04A0" w:firstRow="1" w:lastRow="0" w:firstColumn="1" w:lastColumn="0" w:noHBand="0" w:noVBand="1"/>
      </w:tblPr>
      <w:tblGrid>
        <w:gridCol w:w="5098"/>
        <w:gridCol w:w="2875"/>
        <w:gridCol w:w="1513"/>
      </w:tblGrid>
      <w:tr w:rsidR="00E82EB6" w14:paraId="2A7D5528"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8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82EB6" w14:paraId="2A7D552C"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C0D0115" w:rsidR="00DF1C6E" w:rsidRPr="00463F65" w:rsidRDefault="003676D4" w:rsidP="00AF528D">
            <w:pPr>
              <w:pStyle w:val="TableRow"/>
              <w:numPr>
                <w:ilvl w:val="0"/>
                <w:numId w:val="20"/>
              </w:numPr>
              <w:rPr>
                <w:sz w:val="22"/>
                <w:szCs w:val="22"/>
              </w:rPr>
            </w:pPr>
            <w:r w:rsidRPr="00463F65">
              <w:rPr>
                <w:sz w:val="22"/>
                <w:szCs w:val="22"/>
              </w:rPr>
              <w:t>Reading Ambassadors introduced in each year group.</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C421D24" w:rsidR="005E3065" w:rsidRPr="00463F65" w:rsidRDefault="003676D4" w:rsidP="005E3065">
            <w:pPr>
              <w:pStyle w:val="TableRowCentered"/>
              <w:ind w:left="0"/>
              <w:jc w:val="left"/>
              <w:rPr>
                <w:sz w:val="22"/>
                <w:szCs w:val="22"/>
              </w:rPr>
            </w:pPr>
            <w:r w:rsidRPr="00463F65">
              <w:rPr>
                <w:sz w:val="22"/>
                <w:szCs w:val="22"/>
              </w:rPr>
              <w:t>Our most vulnerable children are least likely to read outside the classroom. This strategy will ensure they read each day.</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01A99A" w:rsidR="00DF1C6E" w:rsidRPr="00DF1C6E" w:rsidRDefault="001D2B6B" w:rsidP="00DF1C6E">
            <w:pPr>
              <w:pStyle w:val="TableRowCentered"/>
              <w:rPr>
                <w:b/>
                <w:sz w:val="22"/>
              </w:rPr>
            </w:pPr>
            <w:r>
              <w:rPr>
                <w:b/>
                <w:sz w:val="22"/>
              </w:rPr>
              <w:t>3</w:t>
            </w:r>
          </w:p>
        </w:tc>
      </w:tr>
      <w:tr w:rsidR="00E82EB6" w14:paraId="2A7D5530"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40AD" w14:textId="2085C5D4" w:rsidR="003676D4" w:rsidRPr="00463F65" w:rsidRDefault="003676D4" w:rsidP="00AF528D">
            <w:pPr>
              <w:pStyle w:val="ListParagraph"/>
              <w:numPr>
                <w:ilvl w:val="0"/>
                <w:numId w:val="21"/>
              </w:numPr>
              <w:spacing w:after="160"/>
              <w:contextualSpacing w:val="0"/>
              <w:rPr>
                <w:sz w:val="22"/>
                <w:szCs w:val="22"/>
              </w:rPr>
            </w:pPr>
            <w:r w:rsidRPr="00463F65">
              <w:rPr>
                <w:sz w:val="22"/>
                <w:szCs w:val="22"/>
              </w:rPr>
              <w:t>Start of Day initiative introduced – staff training in Fluent in 5, Grammar, Handwriting and Spelling – following model.</w:t>
            </w:r>
          </w:p>
          <w:p w14:paraId="2A7D552D" w14:textId="0DBC4507" w:rsidR="00DF1C6E" w:rsidRPr="00463F65" w:rsidRDefault="006B3D79" w:rsidP="003676D4">
            <w:pPr>
              <w:spacing w:after="160"/>
              <w:rPr>
                <w:sz w:val="22"/>
                <w:szCs w:val="22"/>
              </w:rPr>
            </w:pPr>
            <w:r w:rsidRPr="00463F65">
              <w:rPr>
                <w:sz w:val="22"/>
                <w:szCs w:val="22"/>
              </w:rP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B127" w14:textId="77777777" w:rsidR="00DF1C6E" w:rsidRPr="00463F65" w:rsidRDefault="005E3065" w:rsidP="00DF1C6E">
            <w:pPr>
              <w:pStyle w:val="TableRowCentered"/>
              <w:jc w:val="left"/>
              <w:rPr>
                <w:sz w:val="22"/>
                <w:szCs w:val="22"/>
              </w:rPr>
            </w:pPr>
            <w:r w:rsidRPr="00463F65">
              <w:rPr>
                <w:sz w:val="22"/>
                <w:szCs w:val="22"/>
              </w:rPr>
              <w:t>This will provide the opportunity for children to consolidate spellings from the previous day through familiar activities and linked handwriting tasks.</w:t>
            </w:r>
          </w:p>
          <w:p w14:paraId="2A7D552E" w14:textId="5A30C85B" w:rsidR="005E3065" w:rsidRPr="00463F65" w:rsidRDefault="005E3065" w:rsidP="0001660D">
            <w:pPr>
              <w:pStyle w:val="TableRowCentered"/>
              <w:ind w:left="0"/>
              <w:jc w:val="left"/>
              <w:rPr>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F53A42F" w:rsidR="00DF1C6E" w:rsidRPr="009A2633" w:rsidRDefault="009A2633" w:rsidP="009A2633">
            <w:pPr>
              <w:pStyle w:val="TableRowCentered"/>
              <w:rPr>
                <w:b/>
                <w:sz w:val="22"/>
              </w:rPr>
            </w:pPr>
            <w:r w:rsidRPr="009A2633">
              <w:rPr>
                <w:b/>
                <w:sz w:val="22"/>
              </w:rPr>
              <w:t>3,4</w:t>
            </w:r>
          </w:p>
        </w:tc>
      </w:tr>
      <w:tr w:rsidR="00E82EB6" w14:paraId="681FBD6E"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3EEE" w14:textId="509CA4B9" w:rsidR="007F130B" w:rsidRPr="00463F65" w:rsidRDefault="00461B0C" w:rsidP="00AF528D">
            <w:pPr>
              <w:pStyle w:val="TableRow"/>
              <w:numPr>
                <w:ilvl w:val="0"/>
                <w:numId w:val="35"/>
              </w:numPr>
              <w:rPr>
                <w:sz w:val="22"/>
                <w:szCs w:val="22"/>
              </w:rPr>
            </w:pPr>
            <w:r w:rsidRPr="00463F65">
              <w:rPr>
                <w:sz w:val="22"/>
                <w:szCs w:val="22"/>
              </w:rPr>
              <w:t xml:space="preserve">Creating and embedding a Speech, Language and Communication Breakfast club, Forest School and HAF (Holiday Activities and Food Programme) Group for school holidays and providing </w:t>
            </w:r>
            <w:r w:rsidR="007F130B" w:rsidRPr="00463F65">
              <w:rPr>
                <w:sz w:val="22"/>
                <w:szCs w:val="22"/>
              </w:rPr>
              <w:t>pastoral support and well-being to our vulnerable children by creating a calm</w:t>
            </w:r>
            <w:r w:rsidRPr="00463F65">
              <w:rPr>
                <w:sz w:val="22"/>
                <w:szCs w:val="22"/>
              </w:rPr>
              <w:t>,</w:t>
            </w:r>
            <w:r w:rsidR="007F130B" w:rsidRPr="00463F65">
              <w:rPr>
                <w:sz w:val="22"/>
                <w:szCs w:val="22"/>
              </w:rPr>
              <w:t xml:space="preserve"> stable and </w:t>
            </w:r>
            <w:r w:rsidR="007F130B" w:rsidRPr="00463F65">
              <w:rPr>
                <w:sz w:val="22"/>
                <w:szCs w:val="22"/>
              </w:rPr>
              <w:lastRenderedPageBreak/>
              <w:t>purposeful environment at the beginning /end of the school day and during school holidays</w:t>
            </w:r>
          </w:p>
          <w:p w14:paraId="2BB726DE" w14:textId="621C5807" w:rsidR="007F130B" w:rsidRPr="00463F65" w:rsidRDefault="00D97271" w:rsidP="00D97271">
            <w:pPr>
              <w:pStyle w:val="ListParagraph"/>
              <w:numPr>
                <w:ilvl w:val="0"/>
                <w:numId w:val="22"/>
              </w:numPr>
              <w:contextualSpacing w:val="0"/>
              <w:rPr>
                <w:sz w:val="22"/>
                <w:szCs w:val="22"/>
              </w:rPr>
            </w:pPr>
            <w:r w:rsidRPr="00463F65">
              <w:rPr>
                <w:sz w:val="22"/>
                <w:szCs w:val="22"/>
              </w:rPr>
              <w:t>F</w:t>
            </w:r>
            <w:r w:rsidR="007F130B" w:rsidRPr="00463F65">
              <w:rPr>
                <w:sz w:val="22"/>
                <w:szCs w:val="22"/>
              </w:rPr>
              <w:t>ees</w:t>
            </w:r>
            <w:r w:rsidR="00461B0C" w:rsidRPr="00463F65">
              <w:rPr>
                <w:sz w:val="22"/>
                <w:szCs w:val="22"/>
              </w:rPr>
              <w:t xml:space="preserve"> </w:t>
            </w:r>
            <w:r w:rsidRPr="00463F65">
              <w:rPr>
                <w:sz w:val="22"/>
                <w:szCs w:val="22"/>
              </w:rPr>
              <w:t xml:space="preserve">subsidised </w:t>
            </w:r>
            <w:r w:rsidR="00461B0C" w:rsidRPr="00463F65">
              <w:rPr>
                <w:sz w:val="22"/>
                <w:szCs w:val="22"/>
              </w:rPr>
              <w:t>for families on low income and</w:t>
            </w:r>
            <w:r w:rsidR="007F130B" w:rsidRPr="00463F65">
              <w:rPr>
                <w:sz w:val="22"/>
                <w:szCs w:val="22"/>
              </w:rPr>
              <w:t xml:space="preserve"> free places to families for w</w:t>
            </w:r>
            <w:r w:rsidR="00461B0C" w:rsidRPr="00463F65">
              <w:rPr>
                <w:sz w:val="22"/>
                <w:szCs w:val="22"/>
              </w:rPr>
              <w:t>ho</w:t>
            </w:r>
            <w:r w:rsidRPr="00463F65">
              <w:rPr>
                <w:sz w:val="22"/>
                <w:szCs w:val="22"/>
              </w:rPr>
              <w:t>m clubs would be a barrier (t</w:t>
            </w:r>
            <w:r w:rsidR="007F130B" w:rsidRPr="00463F65">
              <w:rPr>
                <w:sz w:val="22"/>
                <w:szCs w:val="22"/>
              </w:rPr>
              <w:t>he School Holiday Club manager</w:t>
            </w:r>
            <w:r w:rsidR="00F54497" w:rsidRPr="00463F65">
              <w:rPr>
                <w:sz w:val="22"/>
                <w:szCs w:val="22"/>
              </w:rPr>
              <w:t xml:space="preserve"> also</w:t>
            </w:r>
            <w:r w:rsidR="007F130B" w:rsidRPr="00463F65">
              <w:rPr>
                <w:sz w:val="22"/>
                <w:szCs w:val="22"/>
              </w:rPr>
              <w:t xml:space="preserve"> had a successful </w:t>
            </w:r>
            <w:r w:rsidR="003B4D74" w:rsidRPr="00463F65">
              <w:rPr>
                <w:sz w:val="22"/>
                <w:szCs w:val="22"/>
              </w:rPr>
              <w:t xml:space="preserve">HAF (Homes and Families) </w:t>
            </w:r>
            <w:r w:rsidR="007F130B" w:rsidRPr="00463F65">
              <w:rPr>
                <w:sz w:val="22"/>
                <w:szCs w:val="22"/>
              </w:rPr>
              <w:t>Holiday Activities and FOOD bid.</w:t>
            </w:r>
            <w:r w:rsidR="00F54497" w:rsidRPr="00463F65">
              <w:rPr>
                <w:sz w:val="22"/>
                <w:szCs w:val="22"/>
              </w:rPr>
              <w:t xml:space="preserve"> The grant of</w:t>
            </w:r>
            <w:r w:rsidR="007F130B" w:rsidRPr="00463F65">
              <w:rPr>
                <w:sz w:val="22"/>
                <w:szCs w:val="22"/>
              </w:rPr>
              <w:t xml:space="preserve"> £1000, was used to promote both physical activity and healthy eating. The holiday club ran from 26th July to 27th August 2021</w:t>
            </w:r>
            <w:r w:rsidRPr="00463F65">
              <w:rPr>
                <w:sz w:val="22"/>
                <w:szCs w:val="22"/>
              </w:rPr>
              <w:t>)</w:t>
            </w:r>
          </w:p>
          <w:p w14:paraId="49098799" w14:textId="2140EC2E" w:rsidR="007F130B" w:rsidRPr="00463F65" w:rsidRDefault="007F130B" w:rsidP="007F130B">
            <w:pPr>
              <w:spacing w:after="160"/>
              <w:jc w:val="both"/>
              <w:rPr>
                <w:sz w:val="22"/>
                <w:szCs w:val="22"/>
              </w:rPr>
            </w:pPr>
          </w:p>
          <w:p w14:paraId="7EC3407B" w14:textId="7E49D93D" w:rsidR="00E82EB6" w:rsidRPr="00463F65" w:rsidRDefault="00E82EB6" w:rsidP="007F130B">
            <w:pPr>
              <w:spacing w:after="160"/>
              <w:jc w:val="both"/>
              <w:rPr>
                <w:sz w:val="22"/>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22C6" w14:textId="23BC5EC3" w:rsidR="00223AE8" w:rsidRPr="00463F65" w:rsidRDefault="00461B0C" w:rsidP="00461B0C">
            <w:pPr>
              <w:pStyle w:val="TableRowCentered"/>
              <w:ind w:left="0"/>
              <w:jc w:val="left"/>
              <w:rPr>
                <w:sz w:val="22"/>
                <w:szCs w:val="22"/>
              </w:rPr>
            </w:pPr>
            <w:r w:rsidRPr="00463F65">
              <w:rPr>
                <w:sz w:val="22"/>
                <w:szCs w:val="22"/>
              </w:rPr>
              <w:lastRenderedPageBreak/>
              <w:t xml:space="preserve">Education Endowment Foundation (EEF) Report states – </w:t>
            </w:r>
          </w:p>
          <w:p w14:paraId="60B7E149" w14:textId="23F5CC10" w:rsidR="00461B0C" w:rsidRPr="00463F65" w:rsidRDefault="00461B0C" w:rsidP="00461B0C">
            <w:pPr>
              <w:pStyle w:val="TableRowCentered"/>
              <w:ind w:left="0"/>
              <w:jc w:val="left"/>
              <w:rPr>
                <w:i/>
                <w:sz w:val="22"/>
                <w:szCs w:val="22"/>
              </w:rPr>
            </w:pPr>
            <w:r w:rsidRPr="00463F65">
              <w:rPr>
                <w:i/>
                <w:sz w:val="22"/>
                <w:szCs w:val="22"/>
              </w:rPr>
              <w:t>Before and after school programmes with a clear structure, a strong link to the curriculum, and well-</w:t>
            </w:r>
            <w:r w:rsidRPr="00463F65">
              <w:rPr>
                <w:i/>
                <w:sz w:val="22"/>
                <w:szCs w:val="22"/>
              </w:rPr>
              <w:lastRenderedPageBreak/>
              <w:t xml:space="preserve">qualified and well-trained staff are more clearly linked to academic benefits than other types of extended </w:t>
            </w:r>
            <w:proofErr w:type="gramStart"/>
            <w:r w:rsidRPr="00463F65">
              <w:rPr>
                <w:i/>
                <w:sz w:val="22"/>
                <w:szCs w:val="22"/>
              </w:rPr>
              <w:t>hours</w:t>
            </w:r>
            <w:proofErr w:type="gramEnd"/>
            <w:r w:rsidRPr="00463F65">
              <w:rPr>
                <w:i/>
                <w:sz w:val="22"/>
                <w:szCs w:val="22"/>
              </w:rPr>
              <w:t xml:space="preserve"> provision.</w:t>
            </w:r>
          </w:p>
          <w:p w14:paraId="0C8C15D7" w14:textId="77777777" w:rsidR="00461B0C" w:rsidRPr="00463F65" w:rsidRDefault="00461B0C" w:rsidP="00461B0C">
            <w:pPr>
              <w:pStyle w:val="TableRowCentered"/>
              <w:ind w:left="0"/>
              <w:jc w:val="left"/>
              <w:rPr>
                <w:sz w:val="22"/>
                <w:szCs w:val="22"/>
              </w:rPr>
            </w:pPr>
          </w:p>
          <w:p w14:paraId="752E9904" w14:textId="77777777" w:rsidR="00461B0C" w:rsidRPr="00463F65" w:rsidRDefault="00461B0C" w:rsidP="00461B0C">
            <w:pPr>
              <w:pStyle w:val="TableRowCentered"/>
              <w:ind w:left="0"/>
              <w:jc w:val="left"/>
              <w:rPr>
                <w:sz w:val="22"/>
                <w:szCs w:val="22"/>
              </w:rPr>
            </w:pPr>
          </w:p>
          <w:p w14:paraId="17B12C56" w14:textId="77777777" w:rsidR="00461B0C" w:rsidRPr="00463F65" w:rsidRDefault="00461B0C" w:rsidP="00461B0C">
            <w:pPr>
              <w:pStyle w:val="TableRowCentered"/>
              <w:ind w:left="0"/>
              <w:jc w:val="left"/>
              <w:rPr>
                <w:sz w:val="22"/>
                <w:szCs w:val="22"/>
              </w:rPr>
            </w:pPr>
          </w:p>
          <w:p w14:paraId="02FE98B7" w14:textId="77777777" w:rsidR="00461B0C" w:rsidRPr="00463F65" w:rsidRDefault="00461B0C" w:rsidP="00461B0C">
            <w:pPr>
              <w:pStyle w:val="TableRowCentered"/>
              <w:ind w:left="0"/>
              <w:jc w:val="left"/>
              <w:rPr>
                <w:sz w:val="22"/>
                <w:szCs w:val="22"/>
              </w:rPr>
            </w:pPr>
          </w:p>
          <w:p w14:paraId="7C35642B" w14:textId="77777777" w:rsidR="00461B0C" w:rsidRPr="00463F65" w:rsidRDefault="00461B0C" w:rsidP="00461B0C">
            <w:pPr>
              <w:pStyle w:val="TableRowCentered"/>
              <w:ind w:left="0"/>
              <w:jc w:val="left"/>
              <w:rPr>
                <w:sz w:val="22"/>
                <w:szCs w:val="22"/>
              </w:rPr>
            </w:pPr>
          </w:p>
          <w:p w14:paraId="2750AE9A" w14:textId="77777777" w:rsidR="00461B0C" w:rsidRPr="00463F65" w:rsidRDefault="00461B0C" w:rsidP="00461B0C">
            <w:pPr>
              <w:pStyle w:val="TableRowCentered"/>
              <w:ind w:left="0"/>
              <w:jc w:val="left"/>
              <w:rPr>
                <w:sz w:val="22"/>
                <w:szCs w:val="22"/>
              </w:rPr>
            </w:pPr>
          </w:p>
          <w:p w14:paraId="238DA9DE" w14:textId="77777777" w:rsidR="00461B0C" w:rsidRPr="00463F65" w:rsidRDefault="00461B0C" w:rsidP="00461B0C">
            <w:pPr>
              <w:pStyle w:val="TableRowCentered"/>
              <w:ind w:left="0"/>
              <w:jc w:val="left"/>
              <w:rPr>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74CE" w14:textId="3273E655" w:rsidR="009A2633" w:rsidRPr="009A2633" w:rsidRDefault="00E61D63" w:rsidP="009A2633">
            <w:pPr>
              <w:pStyle w:val="TableRowCentered"/>
              <w:rPr>
                <w:b/>
                <w:sz w:val="22"/>
              </w:rPr>
            </w:pPr>
            <w:r>
              <w:rPr>
                <w:b/>
                <w:sz w:val="22"/>
              </w:rPr>
              <w:lastRenderedPageBreak/>
              <w:t xml:space="preserve">1, </w:t>
            </w:r>
            <w:r w:rsidR="007F130B">
              <w:rPr>
                <w:b/>
                <w:sz w:val="22"/>
              </w:rPr>
              <w:t>2 &amp; 3</w:t>
            </w:r>
          </w:p>
        </w:tc>
      </w:tr>
      <w:tr w:rsidR="00051E3D" w14:paraId="40FA23F6"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E189" w14:textId="07BCCF32" w:rsidR="001D2B6B" w:rsidRPr="00463F65" w:rsidRDefault="00F54497" w:rsidP="001D2B6B">
            <w:pPr>
              <w:pStyle w:val="ListParagraph"/>
              <w:numPr>
                <w:ilvl w:val="0"/>
                <w:numId w:val="26"/>
              </w:numPr>
              <w:contextualSpacing w:val="0"/>
              <w:rPr>
                <w:sz w:val="22"/>
                <w:szCs w:val="22"/>
              </w:rPr>
            </w:pPr>
            <w:r>
              <w:rPr>
                <w:sz w:val="22"/>
                <w:szCs w:val="22"/>
              </w:rPr>
              <w:t xml:space="preserve">Engaging with the National Tutoring Programme (Tutor Trust Intervention) to provide English (and maths) tuition for pupils whose education has been impacted the most </w:t>
            </w:r>
            <w:r w:rsidR="001D2B6B">
              <w:rPr>
                <w:sz w:val="22"/>
                <w:szCs w:val="22"/>
              </w:rPr>
              <w:t xml:space="preserve">during </w:t>
            </w:r>
            <w:r>
              <w:rPr>
                <w:sz w:val="22"/>
                <w:szCs w:val="22"/>
              </w:rPr>
              <w:t>the pandemic. A significant proportion of the pupils who receive tutoring will be disadvantaged</w:t>
            </w:r>
            <w:r w:rsidR="001D2B6B">
              <w:rPr>
                <w:sz w:val="22"/>
                <w:szCs w:val="22"/>
              </w:rPr>
              <w:t>.</w:t>
            </w:r>
          </w:p>
          <w:p w14:paraId="71655C65" w14:textId="270398F7" w:rsidR="001D2B6B" w:rsidRPr="00463F65" w:rsidRDefault="001D2B6B" w:rsidP="001D2B6B">
            <w:pPr>
              <w:pStyle w:val="ListParagraph"/>
              <w:numPr>
                <w:ilvl w:val="0"/>
                <w:numId w:val="26"/>
              </w:numPr>
              <w:contextualSpacing w:val="0"/>
              <w:rPr>
                <w:sz w:val="22"/>
                <w:szCs w:val="22"/>
              </w:rPr>
            </w:pPr>
            <w:r>
              <w:rPr>
                <w:sz w:val="22"/>
                <w:szCs w:val="22"/>
              </w:rPr>
              <w:t>DHT and Yr6 teacher offering b</w:t>
            </w:r>
            <w:r w:rsidRPr="001D2B6B">
              <w:rPr>
                <w:sz w:val="22"/>
                <w:szCs w:val="22"/>
              </w:rPr>
              <w:t xml:space="preserve">efore school </w:t>
            </w:r>
            <w:r>
              <w:rPr>
                <w:sz w:val="22"/>
                <w:szCs w:val="22"/>
              </w:rPr>
              <w:t xml:space="preserve">reading and writing breakfasts for Yr6 disadvantaged </w:t>
            </w:r>
            <w:proofErr w:type="gramStart"/>
            <w:r>
              <w:rPr>
                <w:sz w:val="22"/>
                <w:szCs w:val="22"/>
              </w:rPr>
              <w:t>pupils</w:t>
            </w:r>
            <w:proofErr w:type="gramEnd"/>
          </w:p>
          <w:p w14:paraId="39E86E8A" w14:textId="317B4745" w:rsidR="00051E3D" w:rsidRPr="00463F65" w:rsidRDefault="00051E3D" w:rsidP="00D529DF">
            <w:pPr>
              <w:rPr>
                <w:sz w:val="22"/>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8FCF" w14:textId="7512EE5E" w:rsidR="0060394C" w:rsidRPr="00463F65" w:rsidRDefault="0060394C" w:rsidP="0060394C">
            <w:pPr>
              <w:pStyle w:val="TableRowCentered"/>
              <w:ind w:left="0"/>
              <w:jc w:val="left"/>
              <w:rPr>
                <w:sz w:val="22"/>
                <w:szCs w:val="22"/>
              </w:rPr>
            </w:pPr>
            <w:r w:rsidRPr="00463F65">
              <w:rPr>
                <w:sz w:val="22"/>
                <w:szCs w:val="22"/>
              </w:rPr>
              <w:t xml:space="preserve">Education Endowment Foundation (EEF) Report states – </w:t>
            </w:r>
          </w:p>
          <w:p w14:paraId="24E583BE" w14:textId="488F5E05" w:rsidR="00051E3D" w:rsidRPr="00463F65" w:rsidRDefault="0060394C" w:rsidP="00DF1C6E">
            <w:pPr>
              <w:pStyle w:val="TableRowCentered"/>
              <w:jc w:val="left"/>
              <w:rPr>
                <w:i/>
                <w:sz w:val="22"/>
                <w:szCs w:val="22"/>
              </w:rPr>
            </w:pPr>
            <w:r w:rsidRPr="00463F65">
              <w:rPr>
                <w:i/>
                <w:sz w:val="22"/>
                <w:szCs w:val="22"/>
              </w:rPr>
              <w:t>Small group tuition has an average impact of four months’ additional progress over the course of a year.</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E12C" w14:textId="53093373" w:rsidR="00051E3D" w:rsidRDefault="00CE1081" w:rsidP="009A2633">
            <w:pPr>
              <w:pStyle w:val="TableRowCentered"/>
              <w:rPr>
                <w:b/>
                <w:sz w:val="22"/>
              </w:rPr>
            </w:pPr>
            <w:r>
              <w:rPr>
                <w:b/>
                <w:sz w:val="22"/>
              </w:rPr>
              <w:t>3</w:t>
            </w:r>
            <w:r w:rsidR="00051E3D">
              <w:rPr>
                <w:b/>
                <w:sz w:val="22"/>
              </w:rPr>
              <w:t xml:space="preserve"> &amp; 4</w:t>
            </w:r>
          </w:p>
        </w:tc>
      </w:tr>
      <w:tr w:rsidR="001D2B6B" w14:paraId="46178A28" w14:textId="77777777" w:rsidTr="003D11F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D568E" w14:textId="77777777" w:rsidR="001D2B6B" w:rsidRDefault="001D2B6B" w:rsidP="001D2B6B">
            <w:pPr>
              <w:pStyle w:val="TableRow"/>
              <w:rPr>
                <w:sz w:val="22"/>
                <w:szCs w:val="22"/>
              </w:rPr>
            </w:pPr>
            <w:r>
              <w:rPr>
                <w:sz w:val="22"/>
                <w:szCs w:val="22"/>
              </w:rPr>
              <w:t xml:space="preserve">Effective deployment of staff including teachers and TAs to support key children and year groups. </w:t>
            </w:r>
          </w:p>
          <w:p w14:paraId="769E5455" w14:textId="77777777" w:rsidR="001D2B6B" w:rsidRDefault="001D2B6B" w:rsidP="001D2B6B">
            <w:pPr>
              <w:pStyle w:val="TableRow"/>
              <w:rPr>
                <w:sz w:val="22"/>
                <w:szCs w:val="22"/>
              </w:rPr>
            </w:pPr>
            <w:r>
              <w:rPr>
                <w:sz w:val="22"/>
                <w:szCs w:val="22"/>
              </w:rPr>
              <w:t xml:space="preserve"> </w:t>
            </w:r>
          </w:p>
          <w:p w14:paraId="33163D69" w14:textId="56DE84FD" w:rsidR="001D2B6B" w:rsidRDefault="001D2B6B" w:rsidP="001D2B6B">
            <w:pPr>
              <w:pStyle w:val="TableRow"/>
              <w:rPr>
                <w:sz w:val="22"/>
                <w:szCs w:val="22"/>
              </w:rPr>
            </w:pPr>
            <w:r>
              <w:rPr>
                <w:sz w:val="22"/>
                <w:szCs w:val="22"/>
              </w:rPr>
              <w:t xml:space="preserve">TA in all classes throughout school to deliver high quality </w:t>
            </w:r>
            <w:proofErr w:type="gramStart"/>
            <w:r>
              <w:rPr>
                <w:sz w:val="22"/>
                <w:szCs w:val="22"/>
              </w:rPr>
              <w:t>interventions</w:t>
            </w:r>
            <w:proofErr w:type="gramEnd"/>
            <w:r>
              <w:rPr>
                <w:sz w:val="22"/>
                <w:szCs w:val="22"/>
              </w:rPr>
              <w:t xml:space="preserve"> </w:t>
            </w:r>
          </w:p>
          <w:p w14:paraId="31A0C28A" w14:textId="77777777" w:rsidR="004C7FC9" w:rsidRDefault="004C7FC9" w:rsidP="001D2B6B">
            <w:pPr>
              <w:pStyle w:val="TableRow"/>
              <w:rPr>
                <w:sz w:val="22"/>
                <w:szCs w:val="22"/>
              </w:rPr>
            </w:pPr>
          </w:p>
          <w:p w14:paraId="4B9E5FBD" w14:textId="77777777" w:rsidR="000A1B9B" w:rsidRDefault="001D2B6B" w:rsidP="001D2B6B">
            <w:pPr>
              <w:pStyle w:val="TableRow"/>
              <w:rPr>
                <w:sz w:val="22"/>
                <w:szCs w:val="22"/>
              </w:rPr>
            </w:pPr>
            <w:r>
              <w:rPr>
                <w:sz w:val="22"/>
                <w:szCs w:val="22"/>
              </w:rPr>
              <w:t>Maths and English subject leaders lead on identification of pupils</w:t>
            </w:r>
            <w:r w:rsidR="000A1B9B">
              <w:rPr>
                <w:sz w:val="22"/>
                <w:szCs w:val="22"/>
              </w:rPr>
              <w:t xml:space="preserve"> for interventions</w:t>
            </w:r>
            <w:r>
              <w:rPr>
                <w:sz w:val="22"/>
                <w:szCs w:val="22"/>
              </w:rPr>
              <w:t xml:space="preserve">, delivery </w:t>
            </w:r>
            <w:r w:rsidR="000A1B9B">
              <w:rPr>
                <w:sz w:val="22"/>
                <w:szCs w:val="22"/>
              </w:rPr>
              <w:t xml:space="preserve">of interventions </w:t>
            </w:r>
            <w:r>
              <w:rPr>
                <w:sz w:val="22"/>
                <w:szCs w:val="22"/>
              </w:rPr>
              <w:t>and monitoring</w:t>
            </w:r>
            <w:r w:rsidR="000A1B9B">
              <w:rPr>
                <w:sz w:val="22"/>
                <w:szCs w:val="22"/>
              </w:rPr>
              <w:t xml:space="preserve"> interventions</w:t>
            </w:r>
            <w:r>
              <w:rPr>
                <w:sz w:val="22"/>
                <w:szCs w:val="22"/>
              </w:rPr>
              <w:t>.</w:t>
            </w:r>
          </w:p>
          <w:p w14:paraId="71595A44" w14:textId="77777777" w:rsidR="000A1B9B" w:rsidRDefault="000A1B9B" w:rsidP="000A1B9B">
            <w:pPr>
              <w:pStyle w:val="TableRow"/>
              <w:rPr>
                <w:sz w:val="22"/>
                <w:szCs w:val="22"/>
              </w:rPr>
            </w:pPr>
          </w:p>
          <w:p w14:paraId="6841FA8C" w14:textId="1CB6B802" w:rsidR="000A1B9B" w:rsidRDefault="000A1B9B" w:rsidP="000A1B9B">
            <w:pPr>
              <w:pStyle w:val="TableRow"/>
              <w:rPr>
                <w:sz w:val="22"/>
                <w:szCs w:val="22"/>
              </w:rPr>
            </w:pPr>
            <w:r>
              <w:rPr>
                <w:sz w:val="22"/>
                <w:szCs w:val="22"/>
              </w:rPr>
              <w:t xml:space="preserve">Additional unqualified teacher for part of 21-22 to support with interventions in upper </w:t>
            </w:r>
            <w:proofErr w:type="gramStart"/>
            <w:r>
              <w:rPr>
                <w:sz w:val="22"/>
                <w:szCs w:val="22"/>
              </w:rPr>
              <w:t>KS2</w:t>
            </w:r>
            <w:proofErr w:type="gramEnd"/>
          </w:p>
          <w:p w14:paraId="01C75EA5" w14:textId="77777777" w:rsidR="000A1B9B" w:rsidRDefault="000A1B9B" w:rsidP="001D2B6B">
            <w:pPr>
              <w:pStyle w:val="TableRow"/>
              <w:rPr>
                <w:sz w:val="22"/>
                <w:szCs w:val="22"/>
              </w:rPr>
            </w:pPr>
          </w:p>
          <w:p w14:paraId="09DBFD57" w14:textId="77777777" w:rsidR="001D2B6B" w:rsidRDefault="000A1B9B" w:rsidP="000A1B9B">
            <w:pPr>
              <w:pStyle w:val="TableRow"/>
              <w:rPr>
                <w:sz w:val="22"/>
                <w:szCs w:val="22"/>
              </w:rPr>
            </w:pPr>
            <w:r>
              <w:rPr>
                <w:sz w:val="22"/>
                <w:szCs w:val="22"/>
              </w:rPr>
              <w:t xml:space="preserve">Additional (from retirement) experienced teacher employed to provide phonics and reading interventions in Key Stage 1 </w:t>
            </w:r>
            <w:proofErr w:type="gramStart"/>
            <w:r>
              <w:rPr>
                <w:sz w:val="22"/>
                <w:szCs w:val="22"/>
              </w:rPr>
              <w:t>and also</w:t>
            </w:r>
            <w:proofErr w:type="gramEnd"/>
            <w:r>
              <w:rPr>
                <w:sz w:val="22"/>
                <w:szCs w:val="22"/>
              </w:rPr>
              <w:t xml:space="preserve"> to provide quality training and CPD for less experienced members of the team.</w:t>
            </w:r>
            <w:r w:rsidR="001D2B6B">
              <w:rPr>
                <w:sz w:val="22"/>
                <w:szCs w:val="22"/>
              </w:rPr>
              <w:t xml:space="preserve"> </w:t>
            </w:r>
          </w:p>
          <w:p w14:paraId="20412E31" w14:textId="64A43040" w:rsidR="000A1B9B" w:rsidRPr="000A1B9B" w:rsidRDefault="000A1B9B" w:rsidP="000A1B9B">
            <w:pPr>
              <w:pStyle w:val="TableRow"/>
              <w:rPr>
                <w:sz w:val="22"/>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6508" w14:textId="77777777" w:rsidR="000A1B9B" w:rsidRPr="00463F65" w:rsidRDefault="000A1B9B" w:rsidP="000A1B9B">
            <w:pPr>
              <w:pStyle w:val="TableRowCentered"/>
              <w:jc w:val="left"/>
              <w:rPr>
                <w:sz w:val="22"/>
                <w:szCs w:val="22"/>
              </w:rPr>
            </w:pPr>
            <w:r w:rsidRPr="00463F65">
              <w:rPr>
                <w:sz w:val="22"/>
                <w:szCs w:val="22"/>
              </w:rPr>
              <w:t xml:space="preserve">Research on TAs delivering targeted support interventions in one-to-one or small group settings shows a consistent impact on attainment. </w:t>
            </w:r>
          </w:p>
          <w:p w14:paraId="239F9C54" w14:textId="77777777" w:rsidR="000A1B9B" w:rsidRPr="00463F65" w:rsidRDefault="000A1B9B" w:rsidP="000A1B9B">
            <w:pPr>
              <w:pStyle w:val="TableRowCentered"/>
              <w:jc w:val="left"/>
              <w:rPr>
                <w:sz w:val="22"/>
                <w:szCs w:val="22"/>
              </w:rPr>
            </w:pPr>
          </w:p>
          <w:p w14:paraId="3D3D13BD" w14:textId="77777777" w:rsidR="000A1B9B" w:rsidRPr="00463F65" w:rsidRDefault="00E9140C" w:rsidP="000A1B9B">
            <w:pPr>
              <w:pStyle w:val="TableRowCentered"/>
              <w:jc w:val="left"/>
              <w:rPr>
                <w:sz w:val="22"/>
                <w:szCs w:val="22"/>
              </w:rPr>
            </w:pPr>
            <w:hyperlink r:id="rId13" w:history="1">
              <w:r w:rsidR="000A1B9B" w:rsidRPr="00463F65">
                <w:rPr>
                  <w:rStyle w:val="Hyperlink"/>
                  <w:sz w:val="22"/>
                  <w:szCs w:val="22"/>
                </w:rPr>
                <w:t>EEF – Making best use of teaching assistants</w:t>
              </w:r>
            </w:hyperlink>
          </w:p>
          <w:p w14:paraId="7F95D641" w14:textId="048F584E" w:rsidR="001D2B6B" w:rsidRPr="00463F65" w:rsidRDefault="001D2B6B" w:rsidP="000A1B9B">
            <w:pPr>
              <w:pStyle w:val="TableRowCentered"/>
              <w:ind w:left="0"/>
              <w:jc w:val="left"/>
              <w:rPr>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6E41" w14:textId="600D89AE" w:rsidR="001D2B6B" w:rsidRDefault="000A1B9B" w:rsidP="009A2633">
            <w:pPr>
              <w:pStyle w:val="TableRowCentered"/>
              <w:rPr>
                <w:b/>
                <w:sz w:val="22"/>
              </w:rPr>
            </w:pPr>
            <w:r>
              <w:rPr>
                <w:b/>
                <w:sz w:val="22"/>
              </w:rPr>
              <w:t>2, 3, 4</w:t>
            </w:r>
          </w:p>
        </w:tc>
      </w:tr>
    </w:tbl>
    <w:p w14:paraId="2A7D5531" w14:textId="48BB8521" w:rsidR="00E66558" w:rsidRDefault="00E66558">
      <w:pPr>
        <w:rPr>
          <w:b/>
          <w:color w:val="104F75"/>
          <w:sz w:val="28"/>
          <w:szCs w:val="28"/>
        </w:rPr>
      </w:pPr>
    </w:p>
    <w:p w14:paraId="5CEF24C5" w14:textId="77777777" w:rsidR="004C7FC9" w:rsidRDefault="004C7FC9">
      <w:pPr>
        <w:rPr>
          <w:b/>
          <w:color w:val="104F75"/>
          <w:sz w:val="28"/>
          <w:szCs w:val="28"/>
        </w:rPr>
      </w:pPr>
    </w:p>
    <w:p w14:paraId="7874A31F" w14:textId="77777777" w:rsidR="0087227E" w:rsidRDefault="0087227E">
      <w:pPr>
        <w:rPr>
          <w:b/>
          <w:color w:val="104F75"/>
          <w:sz w:val="28"/>
          <w:szCs w:val="28"/>
        </w:rPr>
      </w:pPr>
    </w:p>
    <w:p w14:paraId="2A7D5532" w14:textId="3A340370" w:rsidR="00E66558" w:rsidRDefault="009D71E8">
      <w:pPr>
        <w:rPr>
          <w:b/>
          <w:color w:val="104F75"/>
          <w:sz w:val="28"/>
          <w:szCs w:val="28"/>
        </w:rPr>
      </w:pPr>
      <w:r>
        <w:rPr>
          <w:b/>
          <w:color w:val="104F75"/>
          <w:sz w:val="28"/>
          <w:szCs w:val="28"/>
        </w:rPr>
        <w:t>Wider strategies (for example, related to attendance, behaviour, wellbeing)</w:t>
      </w:r>
    </w:p>
    <w:p w14:paraId="2A7D5533" w14:textId="72809C9A" w:rsidR="00E66558" w:rsidRDefault="009D71E8">
      <w:pPr>
        <w:spacing w:before="240" w:after="120"/>
      </w:pPr>
      <w:r w:rsidRPr="0087227E">
        <w:rPr>
          <w:b/>
          <w:sz w:val="28"/>
        </w:rPr>
        <w:t>Budgeted cost:</w:t>
      </w:r>
      <w:r w:rsidR="00635D46">
        <w:rPr>
          <w:b/>
          <w:sz w:val="28"/>
        </w:rPr>
        <w:t xml:space="preserve"> (around 25% of total grant)</w:t>
      </w:r>
      <w:r w:rsidR="00C52EC2">
        <w:rPr>
          <w:b/>
          <w:iCs/>
          <w:color w:val="104F75"/>
          <w:sz w:val="28"/>
          <w:szCs w:val="28"/>
        </w:rPr>
        <w:t xml:space="preserve"> £27,600</w:t>
      </w:r>
    </w:p>
    <w:tbl>
      <w:tblPr>
        <w:tblW w:w="5000" w:type="pct"/>
        <w:tblCellMar>
          <w:left w:w="10" w:type="dxa"/>
          <w:right w:w="10" w:type="dxa"/>
        </w:tblCellMar>
        <w:tblLook w:val="04A0" w:firstRow="1" w:lastRow="0" w:firstColumn="1" w:lastColumn="0" w:noHBand="0" w:noVBand="1"/>
      </w:tblPr>
      <w:tblGrid>
        <w:gridCol w:w="4302"/>
        <w:gridCol w:w="3632"/>
        <w:gridCol w:w="1552"/>
      </w:tblGrid>
      <w:tr w:rsidR="00E66558" w14:paraId="2A7D5537" w14:textId="77777777" w:rsidTr="00C83F84">
        <w:tc>
          <w:tcPr>
            <w:tcW w:w="43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36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83F84" w14:paraId="08966E04" w14:textId="77777777" w:rsidTr="00C83F84">
        <w:tc>
          <w:tcPr>
            <w:tcW w:w="4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6BBB" w14:textId="77777777" w:rsidR="00C83F84" w:rsidRPr="00463F65" w:rsidRDefault="00C83F84" w:rsidP="00C83F84">
            <w:pPr>
              <w:pStyle w:val="TableRow"/>
              <w:rPr>
                <w:sz w:val="22"/>
                <w:szCs w:val="22"/>
              </w:rPr>
            </w:pPr>
            <w:r w:rsidRPr="00463F65">
              <w:rPr>
                <w:sz w:val="22"/>
                <w:szCs w:val="22"/>
              </w:rPr>
              <w:t xml:space="preserve">Embedding principles of good practice set out in the </w:t>
            </w:r>
            <w:hyperlink r:id="rId14" w:history="1">
              <w:proofErr w:type="spellStart"/>
              <w:r w:rsidRPr="00463F65">
                <w:rPr>
                  <w:rStyle w:val="Hyperlink"/>
                  <w:sz w:val="22"/>
                  <w:szCs w:val="22"/>
                </w:rPr>
                <w:t>DfE;s</w:t>
              </w:r>
              <w:proofErr w:type="spellEnd"/>
              <w:r w:rsidRPr="00463F65">
                <w:rPr>
                  <w:rStyle w:val="Hyperlink"/>
                  <w:sz w:val="22"/>
                  <w:szCs w:val="22"/>
                </w:rPr>
                <w:t xml:space="preserve"> Improving School Attendance</w:t>
              </w:r>
            </w:hyperlink>
            <w:r w:rsidRPr="00463F65">
              <w:rPr>
                <w:sz w:val="22"/>
                <w:szCs w:val="22"/>
              </w:rPr>
              <w:t xml:space="preserve"> advice. </w:t>
            </w:r>
          </w:p>
          <w:p w14:paraId="00A5D3CE" w14:textId="2C77B64F" w:rsidR="00C83F84" w:rsidRPr="00463F65" w:rsidRDefault="00C83F84" w:rsidP="00C83F84">
            <w:pPr>
              <w:rPr>
                <w:b/>
                <w:bCs/>
                <w:iCs/>
                <w:sz w:val="22"/>
                <w:szCs w:val="22"/>
              </w:rPr>
            </w:pPr>
            <w:r w:rsidRPr="00463F65">
              <w:rPr>
                <w:sz w:val="22"/>
                <w:szCs w:val="22"/>
              </w:rPr>
              <w:t xml:space="preserve">This will involve training and release time to staff to develop and implement new procedures and continuing to employ an attendance officer to improve attendance.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B238" w14:textId="77777777" w:rsidR="00C83F84" w:rsidRPr="00463F65" w:rsidRDefault="00C83F84" w:rsidP="00C83F84">
            <w:pPr>
              <w:pStyle w:val="TableRowCentered"/>
              <w:jc w:val="left"/>
              <w:rPr>
                <w:sz w:val="22"/>
                <w:szCs w:val="22"/>
              </w:rPr>
            </w:pPr>
            <w:r w:rsidRPr="00463F65">
              <w:rPr>
                <w:sz w:val="22"/>
                <w:szCs w:val="22"/>
              </w:rPr>
              <w:t xml:space="preserve">The DfE guidance has been informed by engagement with schools that have significantly reduced levels of absence and persistent absence. </w:t>
            </w:r>
          </w:p>
          <w:p w14:paraId="2E56C6B1" w14:textId="77777777" w:rsidR="00C83F84" w:rsidRPr="00463F65" w:rsidRDefault="00C83F84" w:rsidP="00C83F84">
            <w:pPr>
              <w:pStyle w:val="TableRowCentered"/>
              <w:jc w:val="left"/>
              <w:rPr>
                <w:sz w:val="22"/>
                <w:szCs w:val="22"/>
              </w:rPr>
            </w:pPr>
          </w:p>
          <w:p w14:paraId="52113E8E" w14:textId="77777777" w:rsidR="00C83F84" w:rsidRPr="00463F65" w:rsidRDefault="00C83F84" w:rsidP="00C83F84">
            <w:pPr>
              <w:pStyle w:val="TableRowCentered"/>
              <w:jc w:val="left"/>
              <w:rPr>
                <w:sz w:val="22"/>
                <w:szCs w:val="22"/>
              </w:rPr>
            </w:pPr>
          </w:p>
          <w:p w14:paraId="7A99A7A6" w14:textId="77777777" w:rsidR="00C83F84" w:rsidRPr="00463F65" w:rsidRDefault="00C83F84" w:rsidP="00C83F84">
            <w:pPr>
              <w:pStyle w:val="TableRowCentered"/>
              <w:jc w:val="left"/>
              <w:rPr>
                <w:sz w:val="22"/>
                <w:szCs w:val="22"/>
              </w:rPr>
            </w:pPr>
          </w:p>
          <w:p w14:paraId="73C171E1" w14:textId="77777777" w:rsidR="00C83F84" w:rsidRPr="00463F65" w:rsidRDefault="00C83F84" w:rsidP="00C83F84">
            <w:pPr>
              <w:pStyle w:val="TableRowCentered"/>
              <w:jc w:val="left"/>
              <w:rPr>
                <w:sz w:val="22"/>
                <w:szCs w:val="22"/>
              </w:rPr>
            </w:pPr>
          </w:p>
          <w:p w14:paraId="5F3AB834" w14:textId="77777777" w:rsidR="00C83F84" w:rsidRPr="00463F65" w:rsidRDefault="00C83F84" w:rsidP="00C83F84">
            <w:pPr>
              <w:pStyle w:val="TableRowCentered"/>
              <w:jc w:val="left"/>
              <w:rPr>
                <w:sz w:val="22"/>
                <w:szCs w:val="22"/>
              </w:rPr>
            </w:pPr>
          </w:p>
          <w:p w14:paraId="6AB97948" w14:textId="77777777" w:rsidR="00C83F84" w:rsidRPr="00463F65" w:rsidRDefault="00C83F84" w:rsidP="00C83F84">
            <w:pPr>
              <w:pStyle w:val="TableRowCentered"/>
              <w:jc w:val="left"/>
              <w:rPr>
                <w:sz w:val="22"/>
                <w:szCs w:val="22"/>
              </w:rPr>
            </w:pPr>
          </w:p>
          <w:p w14:paraId="74BB430D" w14:textId="77777777" w:rsidR="00C83F84" w:rsidRPr="00463F65" w:rsidRDefault="00C83F84" w:rsidP="00C83F84">
            <w:pPr>
              <w:pStyle w:val="TableRowCentered"/>
              <w:jc w:val="left"/>
              <w:rPr>
                <w:b/>
                <w:bCs/>
                <w:iCs/>
                <w:sz w:val="22"/>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32EC" w14:textId="10FE1CD9" w:rsidR="00C83F84" w:rsidRDefault="00C83F84" w:rsidP="00C83F84">
            <w:pPr>
              <w:pStyle w:val="TableRowCentered"/>
              <w:jc w:val="left"/>
              <w:rPr>
                <w:sz w:val="22"/>
              </w:rPr>
            </w:pPr>
            <w:r>
              <w:rPr>
                <w:sz w:val="22"/>
              </w:rPr>
              <w:t>1</w:t>
            </w:r>
          </w:p>
        </w:tc>
      </w:tr>
      <w:tr w:rsidR="00C83F84" w14:paraId="2A7D553B" w14:textId="77777777" w:rsidTr="00C83F84">
        <w:tc>
          <w:tcPr>
            <w:tcW w:w="4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26D3" w14:textId="77777777" w:rsidR="00CE1081" w:rsidRPr="00463F65" w:rsidRDefault="00C83F84" w:rsidP="00F54497">
            <w:pPr>
              <w:pStyle w:val="ListParagraph"/>
              <w:numPr>
                <w:ilvl w:val="0"/>
                <w:numId w:val="22"/>
              </w:numPr>
              <w:contextualSpacing w:val="0"/>
              <w:rPr>
                <w:sz w:val="22"/>
                <w:szCs w:val="22"/>
              </w:rPr>
            </w:pPr>
            <w:r w:rsidRPr="00463F65">
              <w:rPr>
                <w:sz w:val="22"/>
                <w:szCs w:val="22"/>
              </w:rPr>
              <w:t xml:space="preserve">Forest school activities are planned and structured </w:t>
            </w:r>
            <w:r w:rsidR="00F54497" w:rsidRPr="00463F65">
              <w:rPr>
                <w:sz w:val="22"/>
                <w:szCs w:val="22"/>
              </w:rPr>
              <w:t xml:space="preserve">for all children </w:t>
            </w:r>
            <w:r w:rsidRPr="00463F65">
              <w:rPr>
                <w:sz w:val="22"/>
                <w:szCs w:val="22"/>
              </w:rPr>
              <w:t>to provide a</w:t>
            </w:r>
            <w:r w:rsidR="00F54497" w:rsidRPr="00463F65">
              <w:rPr>
                <w:sz w:val="22"/>
                <w:szCs w:val="22"/>
              </w:rPr>
              <w:t>n enriched outdoor learning experience</w:t>
            </w:r>
            <w:r w:rsidRPr="00463F65">
              <w:rPr>
                <w:sz w:val="22"/>
                <w:szCs w:val="22"/>
              </w:rPr>
              <w:t>.</w:t>
            </w:r>
            <w:r w:rsidR="00F54497" w:rsidRPr="00463F65">
              <w:rPr>
                <w:sz w:val="22"/>
                <w:szCs w:val="22"/>
              </w:rPr>
              <w:t xml:space="preserve"> </w:t>
            </w:r>
          </w:p>
          <w:p w14:paraId="6C59E22E" w14:textId="24308D93" w:rsidR="00CE1081" w:rsidRPr="00463F65" w:rsidRDefault="00463F65" w:rsidP="00F54497">
            <w:pPr>
              <w:pStyle w:val="ListParagraph"/>
              <w:numPr>
                <w:ilvl w:val="0"/>
                <w:numId w:val="22"/>
              </w:numPr>
              <w:contextualSpacing w:val="0"/>
              <w:rPr>
                <w:sz w:val="22"/>
                <w:szCs w:val="22"/>
              </w:rPr>
            </w:pPr>
            <w:r>
              <w:rPr>
                <w:sz w:val="22"/>
                <w:szCs w:val="22"/>
              </w:rPr>
              <w:t>A</w:t>
            </w:r>
            <w:r w:rsidR="00F54497" w:rsidRPr="00463F65">
              <w:rPr>
                <w:sz w:val="22"/>
                <w:szCs w:val="22"/>
              </w:rPr>
              <w:t xml:space="preserve"> Forest School trained </w:t>
            </w:r>
            <w:r>
              <w:rPr>
                <w:sz w:val="22"/>
                <w:szCs w:val="22"/>
              </w:rPr>
              <w:t xml:space="preserve">member of </w:t>
            </w:r>
            <w:r w:rsidR="00F54497" w:rsidRPr="00463F65">
              <w:rPr>
                <w:sz w:val="22"/>
                <w:szCs w:val="22"/>
              </w:rPr>
              <w:t xml:space="preserve">support staff </w:t>
            </w:r>
            <w:r>
              <w:rPr>
                <w:sz w:val="22"/>
                <w:szCs w:val="22"/>
              </w:rPr>
              <w:t>is</w:t>
            </w:r>
            <w:r w:rsidR="00F54497" w:rsidRPr="00463F65">
              <w:rPr>
                <w:sz w:val="22"/>
                <w:szCs w:val="22"/>
              </w:rPr>
              <w:t xml:space="preserve"> dedicated to ensuring all children at St Mary’s receive this experience. </w:t>
            </w:r>
          </w:p>
          <w:p w14:paraId="2A7D5538" w14:textId="2B3005C3" w:rsidR="00C83F84" w:rsidRPr="00463F65" w:rsidRDefault="00F54497" w:rsidP="00F54497">
            <w:pPr>
              <w:pStyle w:val="ListParagraph"/>
              <w:numPr>
                <w:ilvl w:val="0"/>
                <w:numId w:val="22"/>
              </w:numPr>
              <w:contextualSpacing w:val="0"/>
              <w:rPr>
                <w:sz w:val="22"/>
                <w:szCs w:val="22"/>
              </w:rPr>
            </w:pPr>
            <w:r w:rsidRPr="00463F65">
              <w:rPr>
                <w:sz w:val="22"/>
                <w:szCs w:val="22"/>
              </w:rPr>
              <w:t>Pupil, parent and staff voice is collected to measure strengths and difficulties impact.</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6725" w14:textId="6657DABD" w:rsidR="00C83F84" w:rsidRPr="00463F65" w:rsidRDefault="00C83F84" w:rsidP="00C83F84">
            <w:pPr>
              <w:pStyle w:val="TableRowCentered"/>
              <w:jc w:val="left"/>
              <w:rPr>
                <w:sz w:val="22"/>
                <w:szCs w:val="22"/>
              </w:rPr>
            </w:pPr>
            <w:r w:rsidRPr="00463F65">
              <w:rPr>
                <w:b/>
                <w:bCs/>
                <w:iCs/>
                <w:sz w:val="22"/>
                <w:szCs w:val="22"/>
              </w:rPr>
              <w:t>Forest School</w:t>
            </w:r>
            <w:r w:rsidRPr="00463F65">
              <w:rPr>
                <w:sz w:val="22"/>
                <w:szCs w:val="22"/>
              </w:rPr>
              <w:t xml:space="preserve"> encourages physical, intelle</w:t>
            </w:r>
            <w:r w:rsidR="00F54497" w:rsidRPr="00463F65">
              <w:rPr>
                <w:sz w:val="22"/>
                <w:szCs w:val="22"/>
              </w:rPr>
              <w:t>ctual and spiritual development and promotes self-esteem, resilience and risk-taking in addition to enhancing the social and emotional development of our vulnerable children.</w:t>
            </w:r>
          </w:p>
          <w:p w14:paraId="2924ED6E" w14:textId="77777777" w:rsidR="00C83F84" w:rsidRPr="00463F65" w:rsidRDefault="00C83F84" w:rsidP="00C83F84">
            <w:pPr>
              <w:pStyle w:val="TableRowCentered"/>
              <w:jc w:val="left"/>
              <w:rPr>
                <w:sz w:val="22"/>
                <w:szCs w:val="22"/>
              </w:rPr>
            </w:pPr>
          </w:p>
          <w:p w14:paraId="79BDDDFD" w14:textId="77777777" w:rsidR="00C83F84" w:rsidRPr="00463F65" w:rsidRDefault="00C83F84" w:rsidP="00C83F84">
            <w:pPr>
              <w:pStyle w:val="TableRowCentered"/>
              <w:ind w:left="0"/>
              <w:jc w:val="left"/>
              <w:rPr>
                <w:sz w:val="22"/>
                <w:szCs w:val="22"/>
              </w:rPr>
            </w:pPr>
            <w:r w:rsidRPr="00463F65">
              <w:rPr>
                <w:sz w:val="22"/>
                <w:szCs w:val="22"/>
              </w:rPr>
              <w:t xml:space="preserve">Education Endowment Foundation (EEF) Report states – </w:t>
            </w:r>
          </w:p>
          <w:p w14:paraId="5705A429" w14:textId="77777777" w:rsidR="00C83F84" w:rsidRPr="00463F65" w:rsidRDefault="00C83F84" w:rsidP="00C83F84">
            <w:pPr>
              <w:pStyle w:val="TableRowCentered"/>
              <w:jc w:val="left"/>
              <w:rPr>
                <w:sz w:val="22"/>
                <w:szCs w:val="22"/>
              </w:rPr>
            </w:pPr>
            <w:r w:rsidRPr="00463F65">
              <w:rPr>
                <w:i/>
                <w:sz w:val="22"/>
                <w:szCs w:val="22"/>
              </w:rPr>
              <w:t>The current evidence base on outdoor adventure and academic outcomes is very weak. While the studies that do exist show positive impacts, the limited evidence base means that an impact in months progress is not communicated.</w:t>
            </w:r>
            <w:r w:rsidRPr="00463F65">
              <w:rPr>
                <w:sz w:val="22"/>
                <w:szCs w:val="22"/>
              </w:rPr>
              <w:t xml:space="preserve"> </w:t>
            </w:r>
          </w:p>
          <w:p w14:paraId="204459EE" w14:textId="77777777" w:rsidR="00C83F84" w:rsidRPr="00463F65" w:rsidRDefault="00C83F84" w:rsidP="00C83F84">
            <w:pPr>
              <w:pStyle w:val="TableRowCentered"/>
              <w:jc w:val="left"/>
              <w:rPr>
                <w:sz w:val="22"/>
                <w:szCs w:val="22"/>
              </w:rPr>
            </w:pPr>
          </w:p>
          <w:p w14:paraId="2A7D5539" w14:textId="0E77AD69" w:rsidR="00C83F84" w:rsidRPr="00463F65" w:rsidRDefault="00C83F84" w:rsidP="00C83F84">
            <w:pPr>
              <w:pStyle w:val="TableRowCentered"/>
              <w:jc w:val="left"/>
              <w:rPr>
                <w:sz w:val="22"/>
                <w:szCs w:val="22"/>
              </w:rPr>
            </w:pPr>
            <w:r w:rsidRPr="00463F65">
              <w:rPr>
                <w:sz w:val="22"/>
                <w:szCs w:val="22"/>
              </w:rPr>
              <w:t>However, our pupil feedback indicates the impact on pupil wellbeing has significant impact.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702C92A" w:rsidR="00C83F84" w:rsidRDefault="00F54497" w:rsidP="00C83F84">
            <w:pPr>
              <w:pStyle w:val="TableRowCentered"/>
              <w:jc w:val="left"/>
              <w:rPr>
                <w:sz w:val="22"/>
              </w:rPr>
            </w:pPr>
            <w:r>
              <w:rPr>
                <w:sz w:val="22"/>
              </w:rPr>
              <w:t>5</w:t>
            </w:r>
          </w:p>
        </w:tc>
      </w:tr>
      <w:tr w:rsidR="00C83F84" w14:paraId="4370F331" w14:textId="77777777" w:rsidTr="00C83F84">
        <w:tc>
          <w:tcPr>
            <w:tcW w:w="4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26E4" w14:textId="7479F4F7" w:rsidR="00635D46" w:rsidRPr="00463F65" w:rsidRDefault="00635D46" w:rsidP="00635D46">
            <w:pPr>
              <w:pStyle w:val="TableRow"/>
              <w:numPr>
                <w:ilvl w:val="0"/>
                <w:numId w:val="35"/>
              </w:numPr>
              <w:rPr>
                <w:rFonts w:cs="Calibri"/>
                <w:bCs/>
                <w:sz w:val="22"/>
                <w:szCs w:val="22"/>
              </w:rPr>
            </w:pPr>
            <w:r w:rsidRPr="00463F65">
              <w:rPr>
                <w:rFonts w:cs="Calibri"/>
                <w:bCs/>
                <w:sz w:val="22"/>
                <w:szCs w:val="22"/>
              </w:rPr>
              <w:t xml:space="preserve">A </w:t>
            </w:r>
            <w:proofErr w:type="gramStart"/>
            <w:r w:rsidRPr="00463F65">
              <w:rPr>
                <w:rFonts w:cs="Calibri"/>
                <w:bCs/>
                <w:sz w:val="22"/>
                <w:szCs w:val="22"/>
              </w:rPr>
              <w:t>full time</w:t>
            </w:r>
            <w:proofErr w:type="gramEnd"/>
            <w:r w:rsidRPr="00463F65">
              <w:rPr>
                <w:rFonts w:cs="Calibri"/>
                <w:bCs/>
                <w:sz w:val="22"/>
                <w:szCs w:val="22"/>
              </w:rPr>
              <w:t xml:space="preserve"> social work officer has been deployed to support families with attendance and acute social and emotional need, with the intention that better supported families will result in better attending pupils and improved academic and social/emotional outcomes.</w:t>
            </w:r>
          </w:p>
          <w:p w14:paraId="23317B9D" w14:textId="77777777" w:rsidR="00635D46" w:rsidRPr="00463F65" w:rsidRDefault="00635D46" w:rsidP="00C83F84">
            <w:pPr>
              <w:pStyle w:val="TableRow"/>
              <w:numPr>
                <w:ilvl w:val="0"/>
                <w:numId w:val="23"/>
              </w:numPr>
              <w:rPr>
                <w:sz w:val="22"/>
                <w:szCs w:val="22"/>
              </w:rPr>
            </w:pPr>
            <w:r w:rsidRPr="00463F65">
              <w:rPr>
                <w:sz w:val="22"/>
                <w:szCs w:val="22"/>
              </w:rPr>
              <w:t>The Social Worker</w:t>
            </w:r>
            <w:r w:rsidR="00C83F84" w:rsidRPr="00463F65">
              <w:rPr>
                <w:sz w:val="22"/>
                <w:szCs w:val="22"/>
              </w:rPr>
              <w:t xml:space="preserve"> is part of our social emotional and mental health support team that provides programmes such as nurture groups</w:t>
            </w:r>
            <w:r w:rsidRPr="00463F65">
              <w:rPr>
                <w:sz w:val="22"/>
                <w:szCs w:val="22"/>
              </w:rPr>
              <w:t>,</w:t>
            </w:r>
            <w:r w:rsidR="00C83F84" w:rsidRPr="00463F65">
              <w:rPr>
                <w:sz w:val="22"/>
                <w:szCs w:val="22"/>
              </w:rPr>
              <w:t xml:space="preserve"> anger management, self-esteem </w:t>
            </w:r>
            <w:r w:rsidR="00C83F84" w:rsidRPr="00463F65">
              <w:rPr>
                <w:sz w:val="22"/>
                <w:szCs w:val="22"/>
              </w:rPr>
              <w:lastRenderedPageBreak/>
              <w:t xml:space="preserve">building, resilience, perseverance, grief etc. </w:t>
            </w:r>
          </w:p>
          <w:p w14:paraId="530CD8EA" w14:textId="34B1DFF7" w:rsidR="00C83F84" w:rsidRPr="00463F65" w:rsidRDefault="00C83F84" w:rsidP="00635D46">
            <w:pPr>
              <w:pStyle w:val="TableRow"/>
              <w:numPr>
                <w:ilvl w:val="0"/>
                <w:numId w:val="23"/>
              </w:numPr>
              <w:rPr>
                <w:sz w:val="22"/>
                <w:szCs w:val="22"/>
              </w:rPr>
            </w:pPr>
            <w:r w:rsidRPr="00463F65">
              <w:rPr>
                <w:sz w:val="22"/>
                <w:szCs w:val="22"/>
              </w:rPr>
              <w:t xml:space="preserve">Workshops </w:t>
            </w:r>
            <w:r w:rsidR="00635D46" w:rsidRPr="00463F65">
              <w:rPr>
                <w:sz w:val="22"/>
                <w:szCs w:val="22"/>
              </w:rPr>
              <w:t>for pupils and CPD for staff are</w:t>
            </w:r>
            <w:r w:rsidRPr="00463F65">
              <w:rPr>
                <w:sz w:val="22"/>
                <w:szCs w:val="22"/>
              </w:rPr>
              <w:t xml:space="preserve"> </w:t>
            </w:r>
            <w:r w:rsidR="00635D46" w:rsidRPr="00463F65">
              <w:rPr>
                <w:sz w:val="22"/>
                <w:szCs w:val="22"/>
              </w:rPr>
              <w:t>offered - P</w:t>
            </w:r>
            <w:r w:rsidRPr="00463F65">
              <w:rPr>
                <w:sz w:val="22"/>
                <w:szCs w:val="22"/>
              </w:rPr>
              <w:t>hysical Health; Where you live; Being Safe; Relationships; Feelings and Behaviour; Friends; Confidence and Self-esteem and Education and Learning</w:t>
            </w:r>
            <w:r w:rsidR="00635D46" w:rsidRPr="00463F65">
              <w:rPr>
                <w:sz w:val="22"/>
                <w:szCs w:val="22"/>
              </w:rPr>
              <w:t xml:space="preserve">. Once staff are </w:t>
            </w:r>
            <w:proofErr w:type="gramStart"/>
            <w:r w:rsidR="00635D46" w:rsidRPr="00463F65">
              <w:rPr>
                <w:sz w:val="22"/>
                <w:szCs w:val="22"/>
              </w:rPr>
              <w:t>trained</w:t>
            </w:r>
            <w:proofErr w:type="gramEnd"/>
            <w:r w:rsidR="00635D46" w:rsidRPr="00463F65">
              <w:rPr>
                <w:sz w:val="22"/>
                <w:szCs w:val="22"/>
              </w:rPr>
              <w:t xml:space="preserve"> they continue the themes in class with children.</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0843" w14:textId="34022D53" w:rsidR="00F54497" w:rsidRPr="00463F65" w:rsidRDefault="00F54497" w:rsidP="00C83F84">
            <w:pPr>
              <w:pStyle w:val="TableRow"/>
              <w:ind w:left="0"/>
              <w:rPr>
                <w:rFonts w:cs="Calibri"/>
                <w:bCs/>
                <w:sz w:val="22"/>
                <w:szCs w:val="22"/>
              </w:rPr>
            </w:pPr>
          </w:p>
          <w:p w14:paraId="08F23377" w14:textId="77777777" w:rsidR="00F54497" w:rsidRPr="00463F65" w:rsidRDefault="00F54497" w:rsidP="00F54497">
            <w:pPr>
              <w:pStyle w:val="TableRowCentered"/>
              <w:jc w:val="left"/>
              <w:rPr>
                <w:sz w:val="22"/>
                <w:szCs w:val="22"/>
              </w:rPr>
            </w:pPr>
            <w:r w:rsidRPr="00463F65">
              <w:rPr>
                <w:sz w:val="22"/>
                <w:szCs w:val="22"/>
              </w:rPr>
              <w:t xml:space="preserve">EEF Guidance about Wider strategies focusing on Parental Engagement </w:t>
            </w:r>
          </w:p>
          <w:p w14:paraId="4EAD1C5E" w14:textId="77777777" w:rsidR="00F54497" w:rsidRPr="00463F65" w:rsidRDefault="00E9140C" w:rsidP="00F54497">
            <w:pPr>
              <w:pStyle w:val="TableRowCentered"/>
              <w:ind w:left="0"/>
              <w:jc w:val="left"/>
              <w:rPr>
                <w:sz w:val="22"/>
                <w:szCs w:val="22"/>
              </w:rPr>
            </w:pPr>
            <w:hyperlink r:id="rId15" w:history="1">
              <w:r w:rsidR="00F54497" w:rsidRPr="00463F65">
                <w:rPr>
                  <w:rStyle w:val="Hyperlink"/>
                  <w:sz w:val="22"/>
                  <w:szCs w:val="22"/>
                </w:rPr>
                <w:t xml:space="preserve">EEF – wider strategies </w:t>
              </w:r>
            </w:hyperlink>
            <w:r w:rsidR="00F54497" w:rsidRPr="00463F65">
              <w:rPr>
                <w:sz w:val="22"/>
                <w:szCs w:val="22"/>
              </w:rPr>
              <w:t xml:space="preserve"> </w:t>
            </w:r>
          </w:p>
          <w:p w14:paraId="5291A444" w14:textId="77777777" w:rsidR="00F54497" w:rsidRPr="00463F65" w:rsidRDefault="00F54497" w:rsidP="00C83F84">
            <w:pPr>
              <w:pStyle w:val="TableRow"/>
              <w:ind w:left="0"/>
              <w:rPr>
                <w:rFonts w:cs="Calibri"/>
                <w:bCs/>
                <w:sz w:val="22"/>
                <w:szCs w:val="22"/>
              </w:rPr>
            </w:pPr>
          </w:p>
          <w:p w14:paraId="2EEA64F2" w14:textId="77777777" w:rsidR="00C83F84" w:rsidRPr="00463F65" w:rsidRDefault="00C83F84" w:rsidP="00C83F84">
            <w:pPr>
              <w:pStyle w:val="TableRowCentered"/>
              <w:jc w:val="left"/>
              <w:rPr>
                <w:sz w:val="22"/>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6CE1" w14:textId="26868170" w:rsidR="00C83F84" w:rsidRPr="00745EB4" w:rsidRDefault="00C83F84" w:rsidP="00C83F84">
            <w:pPr>
              <w:pStyle w:val="TableRowCentered"/>
              <w:rPr>
                <w:b/>
                <w:sz w:val="22"/>
              </w:rPr>
            </w:pPr>
            <w:r w:rsidRPr="00745EB4">
              <w:rPr>
                <w:b/>
                <w:sz w:val="22"/>
              </w:rPr>
              <w:t>1</w:t>
            </w:r>
            <w:r w:rsidR="00635D46">
              <w:rPr>
                <w:b/>
                <w:sz w:val="22"/>
              </w:rPr>
              <w:t>, 2, 3, 4, 5</w:t>
            </w:r>
          </w:p>
        </w:tc>
      </w:tr>
      <w:tr w:rsidR="00C83F84" w14:paraId="2A7D553F" w14:textId="77777777" w:rsidTr="00C83F84">
        <w:tc>
          <w:tcPr>
            <w:tcW w:w="4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A6A4" w14:textId="07F08302" w:rsidR="00C83F84" w:rsidRPr="00463F65" w:rsidRDefault="00C83F84" w:rsidP="00C83F84">
            <w:pPr>
              <w:pStyle w:val="TableRow"/>
              <w:rPr>
                <w:b/>
                <w:sz w:val="22"/>
                <w:szCs w:val="22"/>
                <w:u w:val="single"/>
              </w:rPr>
            </w:pPr>
            <w:r w:rsidRPr="00463F65">
              <w:rPr>
                <w:b/>
                <w:sz w:val="22"/>
                <w:szCs w:val="22"/>
                <w:u w:val="single"/>
              </w:rPr>
              <w:t>SEN</w:t>
            </w:r>
            <w:r w:rsidR="00B625B5" w:rsidRPr="00463F65">
              <w:rPr>
                <w:b/>
                <w:sz w:val="22"/>
                <w:szCs w:val="22"/>
                <w:u w:val="single"/>
              </w:rPr>
              <w:t>D</w:t>
            </w:r>
            <w:r w:rsidRPr="00463F65">
              <w:rPr>
                <w:b/>
                <w:sz w:val="22"/>
                <w:szCs w:val="22"/>
                <w:u w:val="single"/>
              </w:rPr>
              <w:t xml:space="preserve">/PP Sporting Events </w:t>
            </w:r>
          </w:p>
          <w:p w14:paraId="609006C0" w14:textId="77777777" w:rsidR="00B625B5" w:rsidRPr="00463F65" w:rsidRDefault="00C83F84" w:rsidP="00C83F84">
            <w:pPr>
              <w:pStyle w:val="TableRow"/>
              <w:rPr>
                <w:sz w:val="22"/>
                <w:szCs w:val="22"/>
              </w:rPr>
            </w:pPr>
            <w:r w:rsidRPr="00463F65">
              <w:rPr>
                <w:sz w:val="22"/>
                <w:szCs w:val="22"/>
              </w:rPr>
              <w:t>(See Sports Premium Co-ordinator’s report)</w:t>
            </w:r>
          </w:p>
          <w:p w14:paraId="3A168AE1" w14:textId="57AFBC38" w:rsidR="00B625B5" w:rsidRPr="00463F65" w:rsidRDefault="00B625B5" w:rsidP="00C83F84">
            <w:pPr>
              <w:pStyle w:val="TableRow"/>
              <w:rPr>
                <w:sz w:val="22"/>
                <w:szCs w:val="22"/>
              </w:rPr>
            </w:pPr>
            <w:r w:rsidRPr="00463F65">
              <w:rPr>
                <w:sz w:val="22"/>
                <w:szCs w:val="22"/>
              </w:rPr>
              <w:t>Overlap with Sports Funding -</w:t>
            </w:r>
          </w:p>
          <w:p w14:paraId="3E74CF01" w14:textId="7067452E" w:rsidR="00B625B5" w:rsidRPr="00463F65" w:rsidRDefault="00C83F84" w:rsidP="00C83F84">
            <w:pPr>
              <w:pStyle w:val="TableRow"/>
              <w:rPr>
                <w:sz w:val="22"/>
                <w:szCs w:val="22"/>
              </w:rPr>
            </w:pPr>
            <w:r w:rsidRPr="00463F65">
              <w:rPr>
                <w:sz w:val="22"/>
                <w:szCs w:val="22"/>
              </w:rPr>
              <w:t xml:space="preserve">St Mary’s </w:t>
            </w:r>
            <w:r w:rsidR="00B625B5" w:rsidRPr="00463F65">
              <w:rPr>
                <w:sz w:val="22"/>
                <w:szCs w:val="22"/>
              </w:rPr>
              <w:t>involvement with Bury School Games (funded by Sports Premium) ensure that all children are involved and engaged in sports and competitive events, regardless of specific skills.</w:t>
            </w:r>
          </w:p>
          <w:p w14:paraId="44D5EA00" w14:textId="4FBCB8CA" w:rsidR="00B625B5" w:rsidRPr="00463F65" w:rsidRDefault="00B625B5" w:rsidP="00C83F84">
            <w:pPr>
              <w:pStyle w:val="TableRow"/>
              <w:rPr>
                <w:sz w:val="22"/>
                <w:szCs w:val="22"/>
              </w:rPr>
            </w:pPr>
            <w:r w:rsidRPr="00463F65">
              <w:rPr>
                <w:sz w:val="22"/>
                <w:szCs w:val="22"/>
              </w:rPr>
              <w:t>Sports Leader prioritises PPG pupils and funds additional costs such as transport, kit, food. Almost half of those representing school 21-22 are PPG</w:t>
            </w:r>
            <w:r w:rsidR="009A1E48" w:rsidRPr="00463F65">
              <w:rPr>
                <w:sz w:val="22"/>
                <w:szCs w:val="22"/>
              </w:rPr>
              <w:t xml:space="preserve"> pupils.</w:t>
            </w:r>
          </w:p>
          <w:p w14:paraId="2A7D553C" w14:textId="2F81126D" w:rsidR="00C83F84" w:rsidRPr="00463F65" w:rsidRDefault="00C83F84" w:rsidP="00B625B5">
            <w:pPr>
              <w:pStyle w:val="TableRow"/>
              <w:rPr>
                <w:sz w:val="22"/>
                <w:szCs w:val="22"/>
              </w:rP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0F67" w14:textId="62F8042C" w:rsidR="00B625B5" w:rsidRPr="00463F65" w:rsidRDefault="00B625B5" w:rsidP="00B625B5">
            <w:pPr>
              <w:pStyle w:val="TableRowCentered"/>
              <w:jc w:val="left"/>
              <w:rPr>
                <w:sz w:val="22"/>
                <w:szCs w:val="22"/>
              </w:rPr>
            </w:pPr>
            <w:r w:rsidRPr="00463F65">
              <w:rPr>
                <w:sz w:val="22"/>
                <w:szCs w:val="22"/>
              </w:rPr>
              <w:t xml:space="preserve">EEF Guidance about Wider strategies focusing on Well-being and Mental Health </w:t>
            </w:r>
          </w:p>
          <w:p w14:paraId="39B8D416" w14:textId="77777777" w:rsidR="00B625B5" w:rsidRPr="00463F65" w:rsidRDefault="00B625B5" w:rsidP="00B625B5">
            <w:pPr>
              <w:pStyle w:val="TableRowCentered"/>
              <w:jc w:val="left"/>
              <w:rPr>
                <w:sz w:val="22"/>
                <w:szCs w:val="22"/>
              </w:rPr>
            </w:pPr>
          </w:p>
          <w:p w14:paraId="02AD189A" w14:textId="77777777" w:rsidR="00B625B5" w:rsidRPr="00463F65" w:rsidRDefault="00E9140C" w:rsidP="00B625B5">
            <w:pPr>
              <w:pStyle w:val="TableRowCentered"/>
              <w:jc w:val="left"/>
              <w:rPr>
                <w:sz w:val="22"/>
                <w:szCs w:val="22"/>
              </w:rPr>
            </w:pPr>
            <w:hyperlink r:id="rId16" w:history="1">
              <w:r w:rsidR="00B625B5" w:rsidRPr="00463F65">
                <w:rPr>
                  <w:rStyle w:val="Hyperlink"/>
                  <w:sz w:val="22"/>
                  <w:szCs w:val="22"/>
                </w:rPr>
                <w:t>EEF – wider strategies</w:t>
              </w:r>
            </w:hyperlink>
            <w:r w:rsidR="00B625B5" w:rsidRPr="00463F65">
              <w:rPr>
                <w:sz w:val="22"/>
                <w:szCs w:val="22"/>
              </w:rPr>
              <w:t xml:space="preserve"> </w:t>
            </w:r>
          </w:p>
          <w:p w14:paraId="2A7D553D" w14:textId="77777777" w:rsidR="00C83F84" w:rsidRPr="00463F65" w:rsidRDefault="00C83F84" w:rsidP="00C83F84">
            <w:pPr>
              <w:pStyle w:val="TableRowCentered"/>
              <w:jc w:val="left"/>
              <w:rPr>
                <w:sz w:val="22"/>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B68E116" w:rsidR="00C83F84" w:rsidRDefault="00B625B5" w:rsidP="00C83F84">
            <w:pPr>
              <w:pStyle w:val="TableRowCentered"/>
              <w:jc w:val="left"/>
              <w:rPr>
                <w:sz w:val="22"/>
              </w:rPr>
            </w:pPr>
            <w:r>
              <w:rPr>
                <w:sz w:val="22"/>
              </w:rPr>
              <w:t>5</w:t>
            </w:r>
          </w:p>
        </w:tc>
      </w:tr>
    </w:tbl>
    <w:p w14:paraId="44F2C561" w14:textId="518F6B14" w:rsidR="00597A94" w:rsidRDefault="00597A94"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6B58443" w:rsidR="00E66558" w:rsidRDefault="009D71E8">
      <w:r>
        <w:t>This details the impact that our pupil premium activity had on pupils in the 202</w:t>
      </w:r>
      <w:r w:rsidR="00080EEC">
        <w:t>1</w:t>
      </w:r>
      <w:r>
        <w:t xml:space="preserve"> to 202</w:t>
      </w:r>
      <w:r w:rsidR="00711843">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9D40" w14:textId="5FB7097A" w:rsidR="00687E76" w:rsidRPr="00080EEC" w:rsidRDefault="00687E76" w:rsidP="00687E76">
            <w:pPr>
              <w:rPr>
                <w:color w:val="4F81BD" w:themeColor="accent1"/>
                <w:lang w:eastAsia="en-US"/>
              </w:rPr>
            </w:pPr>
            <w:r w:rsidRPr="00080EEC">
              <w:rPr>
                <w:color w:val="4F81BD" w:themeColor="accent1"/>
                <w:lang w:eastAsia="en-US"/>
              </w:rPr>
              <w:t xml:space="preserve">In 2022 National assessments </w:t>
            </w:r>
            <w:r w:rsidR="00080EEC" w:rsidRPr="00080EEC">
              <w:rPr>
                <w:color w:val="4F81BD" w:themeColor="accent1"/>
                <w:lang w:eastAsia="en-US"/>
              </w:rPr>
              <w:t xml:space="preserve">showed </w:t>
            </w:r>
            <w:r w:rsidRPr="00080EEC">
              <w:rPr>
                <w:color w:val="4F81BD" w:themeColor="accent1"/>
                <w:lang w:eastAsia="en-US"/>
              </w:rPr>
              <w:t xml:space="preserve">pupil’s outcomes were well below pre-pandemic levels </w:t>
            </w:r>
            <w:r w:rsidR="00080EEC" w:rsidRPr="00080EEC">
              <w:rPr>
                <w:color w:val="4F81BD" w:themeColor="accent1"/>
                <w:lang w:eastAsia="en-US"/>
              </w:rPr>
              <w:t>in KS1 reading and writing for all pupils and PP pupils. This was the same for KS2 in reading, but writing had a more positive outcome.</w:t>
            </w:r>
            <w:r w:rsidRPr="00080EEC">
              <w:rPr>
                <w:color w:val="4F81BD" w:themeColor="accent1"/>
                <w:lang w:eastAsia="en-US"/>
              </w:rPr>
              <w:t xml:space="preserve"> </w:t>
            </w:r>
          </w:p>
          <w:p w14:paraId="22187B4A" w14:textId="77777777" w:rsidR="00687E76" w:rsidRPr="00687E76" w:rsidRDefault="00687E76" w:rsidP="00687E76">
            <w:pPr>
              <w:rPr>
                <w:color w:val="4F81BD" w:themeColor="accent1"/>
                <w:highlight w:val="yellow"/>
                <w:lang w:eastAsia="en-US"/>
              </w:rPr>
            </w:pPr>
          </w:p>
          <w:p w14:paraId="203E93F6" w14:textId="4B3A8FAF" w:rsidR="00687E76" w:rsidRPr="00080EEC" w:rsidRDefault="00687E76" w:rsidP="00687E76">
            <w:pPr>
              <w:rPr>
                <w:color w:val="4F81BD" w:themeColor="accent1"/>
                <w:lang w:eastAsia="en-US"/>
              </w:rPr>
            </w:pPr>
            <w:r w:rsidRPr="00080EEC">
              <w:rPr>
                <w:color w:val="4F81BD" w:themeColor="accent1"/>
                <w:lang w:eastAsia="en-US"/>
              </w:rPr>
              <w:t xml:space="preserve">EYFS </w:t>
            </w:r>
            <w:r w:rsidR="00080EEC">
              <w:rPr>
                <w:color w:val="4F81BD" w:themeColor="accent1"/>
                <w:lang w:eastAsia="en-US"/>
              </w:rPr>
              <w:t xml:space="preserve">2022 </w:t>
            </w:r>
            <w:r w:rsidRPr="00080EEC">
              <w:rPr>
                <w:color w:val="4F81BD" w:themeColor="accent1"/>
                <w:lang w:eastAsia="en-US"/>
              </w:rPr>
              <w:t xml:space="preserve">GLD was </w:t>
            </w:r>
            <w:r w:rsidR="00080EEC" w:rsidRPr="00080EEC">
              <w:rPr>
                <w:color w:val="4F81BD" w:themeColor="accent1"/>
                <w:lang w:eastAsia="en-US"/>
              </w:rPr>
              <w:t>in line with National and 71% f</w:t>
            </w:r>
            <w:r w:rsidR="00080EEC">
              <w:rPr>
                <w:color w:val="4F81BD" w:themeColor="accent1"/>
                <w:lang w:eastAsia="en-US"/>
              </w:rPr>
              <w:t>o</w:t>
            </w:r>
            <w:r w:rsidR="00080EEC" w:rsidRPr="00080EEC">
              <w:rPr>
                <w:color w:val="4F81BD" w:themeColor="accent1"/>
                <w:lang w:eastAsia="en-US"/>
              </w:rPr>
              <w:t xml:space="preserve">r all pupils, with 75% of PP pupils reaching the good level of development. </w:t>
            </w:r>
            <w:r w:rsidR="00080EEC">
              <w:rPr>
                <w:color w:val="4F81BD" w:themeColor="accent1"/>
                <w:lang w:eastAsia="en-US"/>
              </w:rPr>
              <w:t>This is a</w:t>
            </w:r>
            <w:r w:rsidR="00080EEC" w:rsidRPr="00080EEC">
              <w:rPr>
                <w:color w:val="4F81BD" w:themeColor="accent1"/>
                <w:lang w:eastAsia="en-US"/>
              </w:rPr>
              <w:t xml:space="preserve"> </w:t>
            </w:r>
            <w:r w:rsidRPr="00080EEC">
              <w:rPr>
                <w:color w:val="4F81BD" w:themeColor="accent1"/>
                <w:lang w:eastAsia="en-US"/>
              </w:rPr>
              <w:t xml:space="preserve">strong indicator that we made a significant difference to those pupils during the EYFS of their education. </w:t>
            </w:r>
          </w:p>
          <w:p w14:paraId="1BBF0230" w14:textId="77777777" w:rsidR="00687E76" w:rsidRPr="00687E76" w:rsidRDefault="00687E76" w:rsidP="00687E76">
            <w:pPr>
              <w:rPr>
                <w:color w:val="4F81BD" w:themeColor="accent1"/>
                <w:highlight w:val="yellow"/>
                <w:lang w:eastAsia="en-US"/>
              </w:rPr>
            </w:pPr>
          </w:p>
          <w:p w14:paraId="09C3994C" w14:textId="6E7FCD95" w:rsidR="00687E76" w:rsidRPr="001174CC" w:rsidRDefault="00687E76" w:rsidP="00687E76">
            <w:pPr>
              <w:rPr>
                <w:color w:val="4F81BD" w:themeColor="accent1"/>
                <w:lang w:eastAsia="en-US"/>
              </w:rPr>
            </w:pPr>
            <w:r w:rsidRPr="001174CC">
              <w:rPr>
                <w:color w:val="4F81BD" w:themeColor="accent1"/>
                <w:lang w:eastAsia="en-US"/>
              </w:rPr>
              <w:t xml:space="preserve">KS1 results, for the whole cohort, were </w:t>
            </w:r>
            <w:r w:rsidR="001174CC">
              <w:rPr>
                <w:color w:val="4F81BD" w:themeColor="accent1"/>
                <w:lang w:eastAsia="en-US"/>
              </w:rPr>
              <w:t xml:space="preserve">much </w:t>
            </w:r>
            <w:r w:rsidRPr="001174CC">
              <w:rPr>
                <w:color w:val="4F81BD" w:themeColor="accent1"/>
                <w:lang w:eastAsia="en-US"/>
              </w:rPr>
              <w:t xml:space="preserve">lower than we aimed to achieve </w:t>
            </w:r>
            <w:r w:rsidR="001174CC">
              <w:rPr>
                <w:color w:val="4F81BD" w:themeColor="accent1"/>
                <w:lang w:eastAsia="en-US"/>
              </w:rPr>
              <w:t xml:space="preserve">and </w:t>
            </w:r>
            <w:r w:rsidRPr="001174CC">
              <w:rPr>
                <w:color w:val="4F81BD" w:themeColor="accent1"/>
                <w:lang w:eastAsia="en-US"/>
              </w:rPr>
              <w:t>the gaps between the attainment of all and the attainment of pupils eligible for PPG were</w:t>
            </w:r>
            <w:r w:rsidR="001174CC">
              <w:rPr>
                <w:color w:val="4F81BD" w:themeColor="accent1"/>
                <w:lang w:eastAsia="en-US"/>
              </w:rPr>
              <w:t xml:space="preserve"> significant</w:t>
            </w:r>
            <w:r w:rsidRPr="001174CC">
              <w:rPr>
                <w:color w:val="4F81BD" w:themeColor="accent1"/>
                <w:lang w:eastAsia="en-US"/>
              </w:rPr>
              <w:t xml:space="preserve">. </w:t>
            </w:r>
            <w:r w:rsidR="001174CC">
              <w:rPr>
                <w:color w:val="4F81BD" w:themeColor="accent1"/>
                <w:lang w:eastAsia="en-US"/>
              </w:rPr>
              <w:t>This is our main priority for 22-23.</w:t>
            </w:r>
          </w:p>
          <w:p w14:paraId="2FDCB261" w14:textId="24807ED7" w:rsidR="00687E76" w:rsidRPr="001174CC" w:rsidRDefault="001174CC" w:rsidP="00687E76">
            <w:pPr>
              <w:rPr>
                <w:color w:val="4F81BD" w:themeColor="accent1"/>
                <w:lang w:eastAsia="en-US"/>
              </w:rPr>
            </w:pPr>
            <w:r w:rsidRPr="001174CC">
              <w:rPr>
                <w:color w:val="4F81BD" w:themeColor="accent1"/>
                <w:lang w:eastAsia="en-US"/>
              </w:rPr>
              <w:t>KS1 Reading = 50</w:t>
            </w:r>
            <w:r w:rsidR="00687E76" w:rsidRPr="001174CC">
              <w:rPr>
                <w:color w:val="4F81BD" w:themeColor="accent1"/>
                <w:lang w:eastAsia="en-US"/>
              </w:rPr>
              <w:t xml:space="preserve">%                          </w:t>
            </w:r>
            <w:r w:rsidRPr="001174CC">
              <w:rPr>
                <w:color w:val="4F81BD" w:themeColor="accent1"/>
                <w:lang w:eastAsia="en-US"/>
              </w:rPr>
              <w:t>PPG = 2</w:t>
            </w:r>
            <w:r w:rsidR="00687E76" w:rsidRPr="001174CC">
              <w:rPr>
                <w:color w:val="4F81BD" w:themeColor="accent1"/>
                <w:lang w:eastAsia="en-US"/>
              </w:rPr>
              <w:t>2%</w:t>
            </w:r>
          </w:p>
          <w:p w14:paraId="40B40ECD" w14:textId="2C2DA65F" w:rsidR="00687E76" w:rsidRPr="001174CC" w:rsidRDefault="00687E76" w:rsidP="00687E76">
            <w:pPr>
              <w:rPr>
                <w:color w:val="4F81BD" w:themeColor="accent1"/>
                <w:lang w:eastAsia="en-US"/>
              </w:rPr>
            </w:pPr>
            <w:r w:rsidRPr="001174CC">
              <w:rPr>
                <w:color w:val="4F81BD" w:themeColor="accent1"/>
                <w:lang w:eastAsia="en-US"/>
              </w:rPr>
              <w:t xml:space="preserve">        </w:t>
            </w:r>
            <w:r w:rsidR="001174CC" w:rsidRPr="001174CC">
              <w:rPr>
                <w:color w:val="4F81BD" w:themeColor="accent1"/>
                <w:lang w:eastAsia="en-US"/>
              </w:rPr>
              <w:t>Writing = 59</w:t>
            </w:r>
            <w:r w:rsidRPr="001174CC">
              <w:rPr>
                <w:color w:val="4F81BD" w:themeColor="accent1"/>
                <w:lang w:eastAsia="en-US"/>
              </w:rPr>
              <w:t xml:space="preserve">%                            PPG = </w:t>
            </w:r>
            <w:r w:rsidR="001174CC" w:rsidRPr="001174CC">
              <w:rPr>
                <w:color w:val="4F81BD" w:themeColor="accent1"/>
                <w:lang w:eastAsia="en-US"/>
              </w:rPr>
              <w:t>22</w:t>
            </w:r>
            <w:r w:rsidRPr="001174CC">
              <w:rPr>
                <w:color w:val="4F81BD" w:themeColor="accent1"/>
                <w:lang w:eastAsia="en-US"/>
              </w:rPr>
              <w:t>%</w:t>
            </w:r>
          </w:p>
          <w:p w14:paraId="56A8A6F6" w14:textId="0709EF7D" w:rsidR="00687E76" w:rsidRPr="001174CC" w:rsidRDefault="00687E76" w:rsidP="00687E76">
            <w:pPr>
              <w:rPr>
                <w:color w:val="4F81BD" w:themeColor="accent1"/>
                <w:lang w:eastAsia="en-US"/>
              </w:rPr>
            </w:pPr>
            <w:r w:rsidRPr="001174CC">
              <w:rPr>
                <w:color w:val="4F81BD" w:themeColor="accent1"/>
                <w:lang w:eastAsia="en-US"/>
              </w:rPr>
              <w:t xml:space="preserve">        </w:t>
            </w:r>
            <w:r w:rsidR="001174CC" w:rsidRPr="001174CC">
              <w:rPr>
                <w:color w:val="4F81BD" w:themeColor="accent1"/>
                <w:lang w:eastAsia="en-US"/>
              </w:rPr>
              <w:t>Maths = 45</w:t>
            </w:r>
            <w:r w:rsidRPr="001174CC">
              <w:rPr>
                <w:color w:val="4F81BD" w:themeColor="accent1"/>
                <w:lang w:eastAsia="en-US"/>
              </w:rPr>
              <w:t xml:space="preserve">%                           </w:t>
            </w:r>
            <w:r w:rsidR="001174CC">
              <w:rPr>
                <w:color w:val="4F81BD" w:themeColor="accent1"/>
                <w:lang w:eastAsia="en-US"/>
              </w:rPr>
              <w:t xml:space="preserve"> </w:t>
            </w:r>
            <w:r w:rsidRPr="001174CC">
              <w:rPr>
                <w:color w:val="4F81BD" w:themeColor="accent1"/>
                <w:lang w:eastAsia="en-US"/>
              </w:rPr>
              <w:t xml:space="preserve"> </w:t>
            </w:r>
            <w:r w:rsidR="001174CC" w:rsidRPr="001174CC">
              <w:rPr>
                <w:color w:val="4F81BD" w:themeColor="accent1"/>
                <w:lang w:eastAsia="en-US"/>
              </w:rPr>
              <w:t>PPG = 22</w:t>
            </w:r>
            <w:r w:rsidRPr="001174CC">
              <w:rPr>
                <w:color w:val="4F81BD" w:themeColor="accent1"/>
                <w:lang w:eastAsia="en-US"/>
              </w:rPr>
              <w:t>%</w:t>
            </w:r>
          </w:p>
          <w:p w14:paraId="474051A7" w14:textId="77777777" w:rsidR="00687E76" w:rsidRPr="00687E76" w:rsidRDefault="00687E76" w:rsidP="00687E76">
            <w:pPr>
              <w:rPr>
                <w:color w:val="4F81BD" w:themeColor="accent1"/>
                <w:highlight w:val="yellow"/>
                <w:lang w:eastAsia="en-US"/>
              </w:rPr>
            </w:pPr>
          </w:p>
          <w:p w14:paraId="09896184" w14:textId="6FE021AC" w:rsidR="00687E76" w:rsidRPr="002F3AB9" w:rsidRDefault="00687E76" w:rsidP="00687E76">
            <w:pPr>
              <w:rPr>
                <w:color w:val="4F81BD" w:themeColor="accent1"/>
                <w:lang w:eastAsia="en-US"/>
              </w:rPr>
            </w:pPr>
            <w:r w:rsidRPr="002F3AB9">
              <w:rPr>
                <w:color w:val="4F81BD" w:themeColor="accent1"/>
                <w:lang w:eastAsia="en-US"/>
              </w:rPr>
              <w:t xml:space="preserve">KS2 results were </w:t>
            </w:r>
            <w:r w:rsidR="002F3AB9">
              <w:rPr>
                <w:color w:val="4F81BD" w:themeColor="accent1"/>
                <w:lang w:eastAsia="en-US"/>
              </w:rPr>
              <w:t>closer to our historical data</w:t>
            </w:r>
            <w:r w:rsidR="002F1DD1">
              <w:rPr>
                <w:color w:val="4F81BD" w:themeColor="accent1"/>
                <w:lang w:eastAsia="en-US"/>
              </w:rPr>
              <w:t xml:space="preserve"> and only slightly below National figures in reading and maths but slightly above in writing for all pupils and PP pupils. Writing at the end of KS2 is a significant achievement for 21-22.</w:t>
            </w:r>
          </w:p>
          <w:p w14:paraId="766EC35E" w14:textId="47930A9F" w:rsidR="00687E76" w:rsidRPr="002F3AB9" w:rsidRDefault="001174CC" w:rsidP="00687E76">
            <w:pPr>
              <w:rPr>
                <w:color w:val="4F81BD" w:themeColor="accent1"/>
                <w:lang w:eastAsia="en-US"/>
              </w:rPr>
            </w:pPr>
            <w:r w:rsidRPr="002F3AB9">
              <w:rPr>
                <w:color w:val="4F81BD" w:themeColor="accent1"/>
                <w:lang w:eastAsia="en-US"/>
              </w:rPr>
              <w:t>KS2 Reading = 72</w:t>
            </w:r>
            <w:r w:rsidR="00687E76" w:rsidRPr="002F3AB9">
              <w:rPr>
                <w:color w:val="4F81BD" w:themeColor="accent1"/>
                <w:lang w:eastAsia="en-US"/>
              </w:rPr>
              <w:t xml:space="preserve">%                          </w:t>
            </w:r>
            <w:r w:rsidRPr="002F3AB9">
              <w:rPr>
                <w:color w:val="4F81BD" w:themeColor="accent1"/>
                <w:lang w:eastAsia="en-US"/>
              </w:rPr>
              <w:t>PPG = 58</w:t>
            </w:r>
            <w:r w:rsidR="00687E76" w:rsidRPr="002F3AB9">
              <w:rPr>
                <w:color w:val="4F81BD" w:themeColor="accent1"/>
                <w:lang w:eastAsia="en-US"/>
              </w:rPr>
              <w:t>%</w:t>
            </w:r>
          </w:p>
          <w:p w14:paraId="1249D2C1" w14:textId="1A1D62CA" w:rsidR="00687E76" w:rsidRPr="002F3AB9" w:rsidRDefault="00687E76" w:rsidP="00687E76">
            <w:pPr>
              <w:rPr>
                <w:color w:val="4F81BD" w:themeColor="accent1"/>
                <w:lang w:eastAsia="en-US"/>
              </w:rPr>
            </w:pPr>
            <w:r w:rsidRPr="002F3AB9">
              <w:rPr>
                <w:color w:val="4F81BD" w:themeColor="accent1"/>
                <w:lang w:eastAsia="en-US"/>
              </w:rPr>
              <w:t xml:space="preserve">       </w:t>
            </w:r>
            <w:r w:rsidR="001174CC" w:rsidRPr="002F3AB9">
              <w:rPr>
                <w:color w:val="4F81BD" w:themeColor="accent1"/>
                <w:lang w:eastAsia="en-US"/>
              </w:rPr>
              <w:t>Writing = 71</w:t>
            </w:r>
            <w:r w:rsidRPr="002F3AB9">
              <w:rPr>
                <w:color w:val="4F81BD" w:themeColor="accent1"/>
                <w:lang w:eastAsia="en-US"/>
              </w:rPr>
              <w:t xml:space="preserve">%                             </w:t>
            </w:r>
            <w:r w:rsidR="001174CC" w:rsidRPr="002F3AB9">
              <w:rPr>
                <w:color w:val="4F81BD" w:themeColor="accent1"/>
                <w:lang w:eastAsia="en-US"/>
              </w:rPr>
              <w:t>PPG = 75</w:t>
            </w:r>
            <w:r w:rsidRPr="002F3AB9">
              <w:rPr>
                <w:color w:val="4F81BD" w:themeColor="accent1"/>
                <w:lang w:eastAsia="en-US"/>
              </w:rPr>
              <w:t xml:space="preserve">% </w:t>
            </w:r>
          </w:p>
          <w:p w14:paraId="3526F547" w14:textId="4B951786" w:rsidR="00687E76" w:rsidRPr="00687E76" w:rsidRDefault="00687E76" w:rsidP="00687E76">
            <w:pPr>
              <w:rPr>
                <w:color w:val="4F81BD" w:themeColor="accent1"/>
                <w:highlight w:val="yellow"/>
                <w:lang w:eastAsia="en-US"/>
              </w:rPr>
            </w:pPr>
            <w:r w:rsidRPr="002F3AB9">
              <w:rPr>
                <w:color w:val="4F81BD" w:themeColor="accent1"/>
                <w:lang w:eastAsia="en-US"/>
              </w:rPr>
              <w:t xml:space="preserve">       </w:t>
            </w:r>
            <w:r w:rsidR="001174CC" w:rsidRPr="002F3AB9">
              <w:rPr>
                <w:color w:val="4F81BD" w:themeColor="accent1"/>
                <w:lang w:eastAsia="en-US"/>
              </w:rPr>
              <w:t>Maths = 67</w:t>
            </w:r>
            <w:r w:rsidRPr="002F3AB9">
              <w:rPr>
                <w:color w:val="4F81BD" w:themeColor="accent1"/>
                <w:lang w:eastAsia="en-US"/>
              </w:rPr>
              <w:t xml:space="preserve">%                              </w:t>
            </w:r>
            <w:r w:rsidR="000556E8" w:rsidRPr="000556E8">
              <w:rPr>
                <w:color w:val="4F81BD" w:themeColor="accent1"/>
                <w:lang w:eastAsia="en-US"/>
              </w:rPr>
              <w:t>PPG = 6</w:t>
            </w:r>
            <w:r w:rsidR="000556E8">
              <w:rPr>
                <w:color w:val="4F81BD" w:themeColor="accent1"/>
                <w:lang w:eastAsia="en-US"/>
              </w:rPr>
              <w:t>5</w:t>
            </w:r>
            <w:r w:rsidRPr="000556E8">
              <w:rPr>
                <w:color w:val="4F81BD" w:themeColor="accent1"/>
                <w:lang w:eastAsia="en-US"/>
              </w:rPr>
              <w:t xml:space="preserve">% </w:t>
            </w:r>
          </w:p>
          <w:p w14:paraId="452252AF" w14:textId="77777777" w:rsidR="001174CC" w:rsidRDefault="001174CC" w:rsidP="00687E76">
            <w:pPr>
              <w:rPr>
                <w:color w:val="4F81BD" w:themeColor="accent1"/>
                <w:lang w:eastAsia="en-US"/>
              </w:rPr>
            </w:pPr>
          </w:p>
          <w:p w14:paraId="3967F660" w14:textId="4EBE5255" w:rsidR="00687E76" w:rsidRDefault="00687E76" w:rsidP="00687E76">
            <w:pPr>
              <w:rPr>
                <w:color w:val="4F81BD" w:themeColor="accent1"/>
                <w:lang w:eastAsia="en-US"/>
              </w:rPr>
            </w:pPr>
            <w:r w:rsidRPr="00687E76">
              <w:rPr>
                <w:color w:val="4F81BD" w:themeColor="accent1"/>
                <w:lang w:eastAsia="en-US"/>
              </w:rPr>
              <w:t xml:space="preserve">We continue to have the highest ambitions for all pupils and to ensure that we make a significant difference for pupils eligible for PPG. On review we have reflected that the impact of the 2 years of disruption due to COVID-19 pandemic was underestimated, particularly the accumulated impact on attainment and progress in writing for </w:t>
            </w:r>
            <w:r w:rsidR="002F1DD1">
              <w:rPr>
                <w:color w:val="4F81BD" w:themeColor="accent1"/>
                <w:lang w:eastAsia="en-US"/>
              </w:rPr>
              <w:t xml:space="preserve">our youngest </w:t>
            </w:r>
            <w:r w:rsidRPr="00687E76">
              <w:rPr>
                <w:color w:val="4F81BD" w:themeColor="accent1"/>
                <w:lang w:eastAsia="en-US"/>
              </w:rPr>
              <w:t xml:space="preserve">disadvantaged pupils. </w:t>
            </w:r>
          </w:p>
          <w:p w14:paraId="76696E6D" w14:textId="77777777" w:rsidR="002F1DD1" w:rsidRPr="00687E76" w:rsidRDefault="002F1DD1" w:rsidP="00687E76">
            <w:pPr>
              <w:rPr>
                <w:color w:val="4F81BD" w:themeColor="accent1"/>
                <w:lang w:eastAsia="en-US"/>
              </w:rPr>
            </w:pPr>
          </w:p>
          <w:p w14:paraId="6463A32E" w14:textId="77777777" w:rsidR="00687E76" w:rsidRPr="000556E8" w:rsidRDefault="00687E76" w:rsidP="00687E76">
            <w:pPr>
              <w:rPr>
                <w:color w:val="4F81BD" w:themeColor="accent1"/>
                <w:lang w:eastAsia="en-US"/>
              </w:rPr>
            </w:pPr>
            <w:r w:rsidRPr="000556E8">
              <w:rPr>
                <w:color w:val="4F81BD" w:themeColor="accent1"/>
                <w:lang w:eastAsia="en-US"/>
              </w:rPr>
              <w:t xml:space="preserve">Attendance remained low at school and persistent absence was high. </w:t>
            </w:r>
          </w:p>
          <w:p w14:paraId="2A82A017" w14:textId="77777777" w:rsidR="00687E76" w:rsidRPr="000556E8" w:rsidRDefault="00687E76" w:rsidP="00687E76">
            <w:pPr>
              <w:rPr>
                <w:color w:val="4F81BD" w:themeColor="accent1"/>
                <w:lang w:eastAsia="en-US"/>
              </w:rPr>
            </w:pPr>
            <w:r w:rsidRPr="000556E8">
              <w:rPr>
                <w:color w:val="4F81BD" w:themeColor="accent1"/>
                <w:lang w:eastAsia="en-US"/>
              </w:rPr>
              <w:t xml:space="preserve">Attainment at met and higher standard remains a key priority of our pupil premium strategy as we move into the second year of the three-year plan. </w:t>
            </w:r>
          </w:p>
          <w:p w14:paraId="70444FCB" w14:textId="77777777" w:rsidR="00687E76" w:rsidRPr="000556E8" w:rsidRDefault="00687E76" w:rsidP="00687E76">
            <w:pPr>
              <w:rPr>
                <w:color w:val="4F81BD" w:themeColor="accent1"/>
                <w:lang w:eastAsia="en-US"/>
              </w:rPr>
            </w:pPr>
          </w:p>
          <w:p w14:paraId="07B61CDB" w14:textId="6AACFBC1" w:rsidR="00687E76" w:rsidRPr="000556E8" w:rsidRDefault="00687E76" w:rsidP="00687E76">
            <w:pPr>
              <w:rPr>
                <w:color w:val="4F81BD" w:themeColor="accent1"/>
                <w:lang w:eastAsia="en-US"/>
              </w:rPr>
            </w:pPr>
            <w:r w:rsidRPr="000556E8">
              <w:rPr>
                <w:color w:val="4F81BD" w:themeColor="accent1"/>
                <w:lang w:eastAsia="en-US"/>
              </w:rPr>
              <w:t xml:space="preserve">Overall attendance in 2021 – 22 </w:t>
            </w:r>
            <w:r w:rsidR="0092054A" w:rsidRPr="000556E8">
              <w:rPr>
                <w:color w:val="4F81BD" w:themeColor="accent1"/>
                <w:lang w:eastAsia="en-US"/>
              </w:rPr>
              <w:t>dipped</w:t>
            </w:r>
            <w:r w:rsidRPr="000556E8">
              <w:rPr>
                <w:color w:val="4F81BD" w:themeColor="accent1"/>
                <w:lang w:eastAsia="en-US"/>
              </w:rPr>
              <w:t xml:space="preserve"> tha</w:t>
            </w:r>
            <w:r w:rsidR="0092054A" w:rsidRPr="000556E8">
              <w:rPr>
                <w:color w:val="4F81BD" w:themeColor="accent1"/>
                <w:lang w:eastAsia="en-US"/>
              </w:rPr>
              <w:t>n the previous two years at 92.8</w:t>
            </w:r>
            <w:r w:rsidRPr="000556E8">
              <w:rPr>
                <w:color w:val="4F81BD" w:themeColor="accent1"/>
                <w:lang w:eastAsia="en-US"/>
              </w:rPr>
              <w:t>% and lower t</w:t>
            </w:r>
            <w:r w:rsidR="0092054A" w:rsidRPr="000556E8">
              <w:rPr>
                <w:color w:val="4F81BD" w:themeColor="accent1"/>
                <w:lang w:eastAsia="en-US"/>
              </w:rPr>
              <w:t>han aimed for. The attendance at</w:t>
            </w:r>
            <w:r w:rsidRPr="000556E8">
              <w:rPr>
                <w:color w:val="4F81BD" w:themeColor="accent1"/>
                <w:lang w:eastAsia="en-US"/>
              </w:rPr>
              <w:t xml:space="preserve"> school for pupils eligible for PPG was very close to that of all pupils</w:t>
            </w:r>
            <w:r w:rsidR="0092054A" w:rsidRPr="000556E8">
              <w:rPr>
                <w:color w:val="4F81BD" w:themeColor="accent1"/>
                <w:lang w:eastAsia="en-US"/>
              </w:rPr>
              <w:t xml:space="preserve"> (only -2.9% difference).</w:t>
            </w:r>
          </w:p>
          <w:p w14:paraId="707DA5A5" w14:textId="6B51172A" w:rsidR="00687E76" w:rsidRPr="000556E8" w:rsidRDefault="00687E76" w:rsidP="00687E76">
            <w:pPr>
              <w:rPr>
                <w:color w:val="4F81BD" w:themeColor="accent1"/>
                <w:lang w:eastAsia="en-US"/>
              </w:rPr>
            </w:pPr>
            <w:r w:rsidRPr="000556E8">
              <w:rPr>
                <w:color w:val="4F81BD" w:themeColor="accent1"/>
                <w:lang w:eastAsia="en-US"/>
              </w:rPr>
              <w:t xml:space="preserve">The percentage of pupils eligible for PPG who were persistently absent </w:t>
            </w:r>
            <w:r w:rsidR="000556E8" w:rsidRPr="000556E8">
              <w:rPr>
                <w:color w:val="4F81BD" w:themeColor="accent1"/>
                <w:lang w:eastAsia="en-US"/>
              </w:rPr>
              <w:t xml:space="preserve">(41.3%) </w:t>
            </w:r>
            <w:r w:rsidRPr="000556E8">
              <w:rPr>
                <w:color w:val="4F81BD" w:themeColor="accent1"/>
                <w:lang w:eastAsia="en-US"/>
              </w:rPr>
              <w:t xml:space="preserve">was </w:t>
            </w:r>
            <w:r w:rsidR="000556E8" w:rsidRPr="000556E8">
              <w:rPr>
                <w:color w:val="4F81BD" w:themeColor="accent1"/>
                <w:lang w:eastAsia="en-US"/>
              </w:rPr>
              <w:t>higher than last year</w:t>
            </w:r>
            <w:r w:rsidRPr="000556E8">
              <w:rPr>
                <w:color w:val="4F81BD" w:themeColor="accent1"/>
                <w:lang w:eastAsia="en-US"/>
              </w:rPr>
              <w:t xml:space="preserve"> and </w:t>
            </w:r>
            <w:r w:rsidR="0092054A" w:rsidRPr="000556E8">
              <w:rPr>
                <w:color w:val="4F81BD" w:themeColor="accent1"/>
                <w:lang w:eastAsia="en-US"/>
              </w:rPr>
              <w:t xml:space="preserve">much </w:t>
            </w:r>
            <w:r w:rsidRPr="000556E8">
              <w:rPr>
                <w:color w:val="4F81BD" w:themeColor="accent1"/>
                <w:lang w:eastAsia="en-US"/>
              </w:rPr>
              <w:t>higher than National</w:t>
            </w:r>
            <w:r w:rsidR="000556E8" w:rsidRPr="000556E8">
              <w:rPr>
                <w:color w:val="4F81BD" w:themeColor="accent1"/>
                <w:lang w:eastAsia="en-US"/>
              </w:rPr>
              <w:t xml:space="preserve"> (23%)</w:t>
            </w:r>
            <w:r w:rsidRPr="000556E8">
              <w:rPr>
                <w:color w:val="4F81BD" w:themeColor="accent1"/>
                <w:lang w:eastAsia="en-US"/>
              </w:rPr>
              <w:t xml:space="preserve">. Attendance remains a focus of our current pupil premium strategy. </w:t>
            </w:r>
          </w:p>
          <w:p w14:paraId="1F488B9A" w14:textId="77777777" w:rsidR="00687E76" w:rsidRPr="00687E76" w:rsidRDefault="00687E76" w:rsidP="00687E76">
            <w:pPr>
              <w:rPr>
                <w:color w:val="4F81BD" w:themeColor="accent1"/>
                <w:highlight w:val="yellow"/>
                <w:lang w:eastAsia="en-US"/>
              </w:rPr>
            </w:pPr>
          </w:p>
          <w:p w14:paraId="2A7D5546" w14:textId="62F29D4C" w:rsidR="00E66558" w:rsidRPr="00687E76" w:rsidRDefault="00687E76" w:rsidP="00687E76">
            <w:r w:rsidRPr="00687E76">
              <w:rPr>
                <w:color w:val="4F81BD" w:themeColor="accent1"/>
                <w:lang w:eastAsia="en-US"/>
              </w:rPr>
              <w:t xml:space="preserve">Our assessments and observations indicate that pupil behaviour, wellbeing and mental health are recovering well following the COVID-19 pandemic for most pupils. However, we have noticed an increase in reported issues such as worry, poor sleep and changes </w:t>
            </w:r>
            <w:r w:rsidRPr="00687E76">
              <w:rPr>
                <w:color w:val="4F81BD" w:themeColor="accent1"/>
                <w:lang w:eastAsia="en-US"/>
              </w:rPr>
              <w:lastRenderedPageBreak/>
              <w:t>to appetite from families. We used pupil premium funding to provide an enhanced wellbeing offer for all pupils and targeted support and interventions where required.  We are continuing to build on these approa</w:t>
            </w:r>
            <w:r w:rsidR="002F1DD1">
              <w:rPr>
                <w:color w:val="4F81BD" w:themeColor="accent1"/>
                <w:lang w:eastAsia="en-US"/>
              </w:rPr>
              <w:t>ches with the activities detailed</w:t>
            </w:r>
            <w:r w:rsidRPr="00687E76">
              <w:rPr>
                <w:color w:val="4F81BD" w:themeColor="accent1"/>
                <w:lang w:eastAsia="en-US"/>
              </w:rPr>
              <w:t xml:space="preserve"> in this strategy.</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095D109" w:rsidR="00E66558" w:rsidRDefault="00687E76" w:rsidP="00051E3D">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6D02B72" w:rsidR="00E66558" w:rsidRDefault="00E9140C">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4721F98"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932F64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3BBF" w14:textId="77777777" w:rsidR="002F1DD1" w:rsidRDefault="002F1DD1" w:rsidP="00286136">
            <w:r>
              <w:t>2020-21</w:t>
            </w:r>
          </w:p>
          <w:p w14:paraId="3CF1C6E6" w14:textId="12FFDA8E" w:rsidR="00286136" w:rsidRDefault="00B877FA" w:rsidP="00286136">
            <w:r>
              <w:t xml:space="preserve">During the Pandemic and </w:t>
            </w:r>
            <w:r w:rsidR="00286136">
              <w:t>Lockdown, f</w:t>
            </w:r>
            <w:r>
              <w:t xml:space="preserve">urther resources were </w:t>
            </w:r>
            <w:proofErr w:type="gramStart"/>
            <w:r>
              <w:t>purchased</w:t>
            </w:r>
            <w:proofErr w:type="gramEnd"/>
            <w:r w:rsidR="00891617">
              <w:t xml:space="preserve"> and the </w:t>
            </w:r>
            <w:r w:rsidR="00AC4409">
              <w:t>R</w:t>
            </w:r>
            <w:r w:rsidR="00891617">
              <w:t xml:space="preserve">ecovery </w:t>
            </w:r>
            <w:r w:rsidR="009A1E48">
              <w:t>Premium</w:t>
            </w:r>
            <w:r w:rsidR="00891617">
              <w:t xml:space="preserve"> was used</w:t>
            </w:r>
            <w:r w:rsidR="00286136">
              <w:t xml:space="preserve">. Equipment included the purchase of </w:t>
            </w:r>
            <w:r w:rsidR="00286136">
              <w:rPr>
                <w:b/>
              </w:rPr>
              <w:t>20 kindles</w:t>
            </w:r>
            <w:r w:rsidR="00286136">
              <w:t xml:space="preserve"> to ensure pupils had access to online learning and the </w:t>
            </w:r>
            <w:r>
              <w:t>ability</w:t>
            </w:r>
            <w:r w:rsidR="00286136">
              <w:t xml:space="preserve"> to connect through ‘Teams’. A further </w:t>
            </w:r>
            <w:r w:rsidR="00286136">
              <w:rPr>
                <w:b/>
              </w:rPr>
              <w:t>20 Chrome Books</w:t>
            </w:r>
            <w:r w:rsidR="00286136">
              <w:t xml:space="preserve"> were purchased. For those struggling to learn on teams individually tailored work packs were created by class teachers. For parents, support was available through ‘First Point’ (a family support service) to seek advice and support for parents struggling to manage routine, boundaries or behavioural problems at home.</w:t>
            </w:r>
            <w:r>
              <w:t xml:space="preserve"> </w:t>
            </w:r>
            <w:r w:rsidR="00286136">
              <w:t>Parents are consulted and involved through a variety of means and opportunities:</w:t>
            </w:r>
          </w:p>
          <w:p w14:paraId="226847DD" w14:textId="77777777" w:rsidR="00286136" w:rsidRDefault="00286136" w:rsidP="00286136">
            <w:pPr>
              <w:pStyle w:val="ListParagraph"/>
              <w:numPr>
                <w:ilvl w:val="0"/>
                <w:numId w:val="24"/>
              </w:numPr>
              <w:contextualSpacing w:val="0"/>
            </w:pPr>
            <w:r>
              <w:t xml:space="preserve">We openly encourage dialogue with parents and listen to their views. Through discussion at Parent's Information Days (Autumn and Spring Terms) - parents are informed about their child’s extra support and interventions planned. </w:t>
            </w:r>
          </w:p>
          <w:p w14:paraId="1599A8C1" w14:textId="4252CEC0" w:rsidR="00286136" w:rsidRDefault="00286136" w:rsidP="00286136">
            <w:pPr>
              <w:pStyle w:val="ListParagraph"/>
              <w:numPr>
                <w:ilvl w:val="0"/>
                <w:numId w:val="24"/>
              </w:numPr>
              <w:contextualSpacing w:val="0"/>
            </w:pPr>
            <w:r>
              <w:t>End of year expectations are also shared with parents at these meetings, so parents can be involved and support their child’s progress.</w:t>
            </w:r>
            <w:r w:rsidR="00B877FA">
              <w:t xml:space="preserve"> </w:t>
            </w:r>
            <w:r>
              <w:t>Class teachers share targets with pupils verbally and through our marking scheme, which gives positive feedback and signposts next steps for pupil’s progress.</w:t>
            </w:r>
          </w:p>
          <w:p w14:paraId="42EBA1D2" w14:textId="0F32254E" w:rsidR="00286136" w:rsidRDefault="00286136" w:rsidP="00286136">
            <w:r>
              <w:rPr>
                <w:b/>
                <w:bCs/>
              </w:rPr>
              <w:t>IMPACT</w:t>
            </w:r>
            <w:r>
              <w:t xml:space="preserve"> We have recently purchased </w:t>
            </w:r>
            <w:r>
              <w:rPr>
                <w:b/>
                <w:bCs/>
                <w:i/>
                <w:iCs/>
              </w:rPr>
              <w:t>The GL Assessment Tool for ‘Emotional Resilience’</w:t>
            </w:r>
            <w:r w:rsidR="00B877FA">
              <w:t xml:space="preserve"> in response to</w:t>
            </w:r>
            <w:r>
              <w:t xml:space="preserve"> lockdowns and as a means of measuring impact of pastoral lessons and social worker involvement.</w:t>
            </w:r>
          </w:p>
          <w:p w14:paraId="113D77E9" w14:textId="19DCA41E" w:rsidR="00100272" w:rsidRDefault="00100272" w:rsidP="00D776DE">
            <w:pPr>
              <w:pStyle w:val="TableRow"/>
              <w:ind w:left="360"/>
            </w:pPr>
          </w:p>
          <w:p w14:paraId="0914F654" w14:textId="043AA1ED" w:rsidR="00D776DE" w:rsidRPr="00D776DE" w:rsidRDefault="00D776DE" w:rsidP="00D776DE">
            <w:pPr>
              <w:pStyle w:val="TableRow"/>
              <w:ind w:left="0"/>
              <w:rPr>
                <w:b/>
              </w:rPr>
            </w:pPr>
            <w:r w:rsidRPr="00D776DE">
              <w:rPr>
                <w:b/>
              </w:rPr>
              <w:t>Inclusion Team</w:t>
            </w:r>
          </w:p>
          <w:p w14:paraId="63ECA8CF" w14:textId="77777777" w:rsidR="00D776DE" w:rsidRDefault="00D776DE" w:rsidP="00D776DE">
            <w:pPr>
              <w:pStyle w:val="TableRow"/>
              <w:numPr>
                <w:ilvl w:val="0"/>
                <w:numId w:val="26"/>
              </w:numPr>
            </w:pPr>
            <w:r>
              <w:rPr>
                <w:rFonts w:eastAsia="Comic Sans MS" w:cs="Arial"/>
                <w:color w:val="000000"/>
              </w:rPr>
              <w:t>The Pupil Premium Lead also works alongside and meets regularly with the SENDCo to share information about interventions, support and progress to ensure that the needs of all vulnerable pupils are met.</w:t>
            </w:r>
          </w:p>
          <w:p w14:paraId="0341F29D" w14:textId="11C59324" w:rsidR="00D776DE" w:rsidRPr="00051E3D" w:rsidRDefault="00D776DE" w:rsidP="00100272">
            <w:pPr>
              <w:pStyle w:val="ListParagraph"/>
              <w:numPr>
                <w:ilvl w:val="0"/>
                <w:numId w:val="26"/>
              </w:numPr>
              <w:contextualSpacing w:val="0"/>
            </w:pPr>
            <w:r>
              <w:t>Inclusion Team profile to be completed for vulnerable children in Year 6 (initially to gain a holistic view of each child and provide most effective support.</w:t>
            </w:r>
          </w:p>
          <w:p w14:paraId="2A7D5562" w14:textId="6C63FD9C" w:rsidR="002F1DD1" w:rsidRDefault="002F1DD1" w:rsidP="002F1DD1">
            <w:pPr>
              <w:spacing w:before="120" w:after="120"/>
              <w:rPr>
                <w:i/>
                <w:iCs/>
              </w:rPr>
            </w:pPr>
          </w:p>
        </w:tc>
      </w:tr>
      <w:bookmarkEnd w:id="14"/>
      <w:bookmarkEnd w:id="15"/>
      <w:bookmarkEnd w:id="16"/>
    </w:tbl>
    <w:p w14:paraId="2A8D3F26" w14:textId="77777777" w:rsidR="002F1DD1" w:rsidRDefault="002F1DD1" w:rsidP="00B877FA">
      <w:pPr>
        <w:rPr>
          <w:i/>
        </w:rPr>
      </w:pPr>
    </w:p>
    <w:p w14:paraId="4EC84079" w14:textId="0D5C5749" w:rsidR="00B877FA" w:rsidRPr="00D776DE" w:rsidRDefault="00B877FA" w:rsidP="00B877FA">
      <w:r w:rsidRPr="00B877FA">
        <w:rPr>
          <w:i/>
        </w:rPr>
        <w:t>The PP Strategy will be reported annually to the Governing Bo</w:t>
      </w:r>
      <w:r w:rsidR="002F1DD1">
        <w:rPr>
          <w:i/>
        </w:rPr>
        <w:t xml:space="preserve">dy and posted on the school </w:t>
      </w:r>
      <w:proofErr w:type="gramStart"/>
      <w:r w:rsidR="002F1DD1">
        <w:rPr>
          <w:i/>
        </w:rPr>
        <w:t>Web</w:t>
      </w:r>
      <w:r w:rsidRPr="00B877FA">
        <w:rPr>
          <w:i/>
        </w:rPr>
        <w:t>site</w:t>
      </w:r>
      <w:proofErr w:type="gramEnd"/>
      <w:r w:rsidRPr="00B877FA">
        <w:rPr>
          <w:i/>
        </w:rPr>
        <w:t>.</w:t>
      </w:r>
    </w:p>
    <w:p w14:paraId="2A7D5564" w14:textId="77777777" w:rsidR="00E66558" w:rsidRDefault="00E66558"/>
    <w:sectPr w:rsidR="00E66558">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B3C7" w14:textId="77777777" w:rsidR="007E16D2" w:rsidRDefault="007E16D2">
      <w:r>
        <w:separator/>
      </w:r>
    </w:p>
  </w:endnote>
  <w:endnote w:type="continuationSeparator" w:id="0">
    <w:p w14:paraId="52B391AB" w14:textId="77777777" w:rsidR="007E16D2" w:rsidRDefault="007E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E4561CD" w:rsidR="005E28A4" w:rsidRDefault="009D71E8">
    <w:pPr>
      <w:pStyle w:val="Footer"/>
      <w:ind w:firstLine="4513"/>
    </w:pPr>
    <w:r>
      <w:fldChar w:fldCharType="begin"/>
    </w:r>
    <w:r>
      <w:instrText xml:space="preserve"> PAGE </w:instrText>
    </w:r>
    <w:r>
      <w:fldChar w:fldCharType="separate"/>
    </w:r>
    <w:r w:rsidR="00AA098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D760" w14:textId="77777777" w:rsidR="007E16D2" w:rsidRDefault="007E16D2">
      <w:r>
        <w:separator/>
      </w:r>
    </w:p>
  </w:footnote>
  <w:footnote w:type="continuationSeparator" w:id="0">
    <w:p w14:paraId="753A3A75" w14:textId="77777777" w:rsidR="007E16D2" w:rsidRDefault="007E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D00"/>
    <w:multiLevelType w:val="hybridMultilevel"/>
    <w:tmpl w:val="837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A255B"/>
    <w:multiLevelType w:val="hybridMultilevel"/>
    <w:tmpl w:val="831662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E6D1A6B"/>
    <w:multiLevelType w:val="hybridMultilevel"/>
    <w:tmpl w:val="5EEE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3050D"/>
    <w:multiLevelType w:val="hybridMultilevel"/>
    <w:tmpl w:val="F26E1EB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4F183D"/>
    <w:multiLevelType w:val="hybridMultilevel"/>
    <w:tmpl w:val="1F4C1E6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E545F6"/>
    <w:multiLevelType w:val="hybridMultilevel"/>
    <w:tmpl w:val="5504FCB8"/>
    <w:lvl w:ilvl="0" w:tplc="04090001">
      <w:start w:val="1"/>
      <w:numFmt w:val="upperRoman"/>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2F54246"/>
    <w:multiLevelType w:val="multilevel"/>
    <w:tmpl w:val="948419A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86B4CC1"/>
    <w:multiLevelType w:val="hybridMultilevel"/>
    <w:tmpl w:val="6680B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FA16404"/>
    <w:multiLevelType w:val="multilevel"/>
    <w:tmpl w:val="770C67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1A25B85"/>
    <w:multiLevelType w:val="hybridMultilevel"/>
    <w:tmpl w:val="6D0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94527"/>
    <w:multiLevelType w:val="multilevel"/>
    <w:tmpl w:val="3CBC72B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BA78A6"/>
    <w:multiLevelType w:val="hybridMultilevel"/>
    <w:tmpl w:val="17685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805804"/>
    <w:multiLevelType w:val="multilevel"/>
    <w:tmpl w:val="D8B2B6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5094706"/>
    <w:multiLevelType w:val="hybridMultilevel"/>
    <w:tmpl w:val="920E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424730"/>
    <w:multiLevelType w:val="hybridMultilevel"/>
    <w:tmpl w:val="A37A1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01366BD"/>
    <w:multiLevelType w:val="hybridMultilevel"/>
    <w:tmpl w:val="3190C4A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D12DDA"/>
    <w:multiLevelType w:val="hybridMultilevel"/>
    <w:tmpl w:val="657EEA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30235A"/>
    <w:multiLevelType w:val="hybridMultilevel"/>
    <w:tmpl w:val="B3F2C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2A7E95"/>
    <w:multiLevelType w:val="multilevel"/>
    <w:tmpl w:val="CD609C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AB93E0E"/>
    <w:multiLevelType w:val="hybridMultilevel"/>
    <w:tmpl w:val="AAE8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575023"/>
    <w:multiLevelType w:val="hybridMultilevel"/>
    <w:tmpl w:val="18DCF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927C60"/>
    <w:multiLevelType w:val="multilevel"/>
    <w:tmpl w:val="673E35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D2A284A"/>
    <w:multiLevelType w:val="multilevel"/>
    <w:tmpl w:val="A29495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39F7D38"/>
    <w:multiLevelType w:val="multilevel"/>
    <w:tmpl w:val="5A7A52B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E27FB7"/>
    <w:multiLevelType w:val="hybridMultilevel"/>
    <w:tmpl w:val="FAFC58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A4321"/>
    <w:multiLevelType w:val="multilevel"/>
    <w:tmpl w:val="25A6C6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111704479">
    <w:abstractNumId w:val="10"/>
  </w:num>
  <w:num w:numId="2" w16cid:durableId="1177623280">
    <w:abstractNumId w:val="7"/>
  </w:num>
  <w:num w:numId="3" w16cid:durableId="736320854">
    <w:abstractNumId w:val="11"/>
  </w:num>
  <w:num w:numId="4" w16cid:durableId="1339187587">
    <w:abstractNumId w:val="13"/>
  </w:num>
  <w:num w:numId="5" w16cid:durableId="611476179">
    <w:abstractNumId w:val="4"/>
  </w:num>
  <w:num w:numId="6" w16cid:durableId="988367214">
    <w:abstractNumId w:val="21"/>
  </w:num>
  <w:num w:numId="7" w16cid:durableId="431517887">
    <w:abstractNumId w:val="30"/>
  </w:num>
  <w:num w:numId="8" w16cid:durableId="1195004013">
    <w:abstractNumId w:val="36"/>
  </w:num>
  <w:num w:numId="9" w16cid:durableId="307326384">
    <w:abstractNumId w:val="33"/>
  </w:num>
  <w:num w:numId="10" w16cid:durableId="1006786043">
    <w:abstractNumId w:val="31"/>
  </w:num>
  <w:num w:numId="11" w16cid:durableId="1721318808">
    <w:abstractNumId w:val="8"/>
  </w:num>
  <w:num w:numId="12" w16cid:durableId="1329557838">
    <w:abstractNumId w:val="34"/>
  </w:num>
  <w:num w:numId="13" w16cid:durableId="658967703">
    <w:abstractNumId w:val="28"/>
  </w:num>
  <w:num w:numId="14" w16cid:durableId="2099713419">
    <w:abstractNumId w:val="22"/>
  </w:num>
  <w:num w:numId="15" w16cid:durableId="1819569001">
    <w:abstractNumId w:val="23"/>
  </w:num>
  <w:num w:numId="16" w16cid:durableId="1248078263">
    <w:abstractNumId w:val="5"/>
  </w:num>
  <w:num w:numId="17" w16cid:durableId="1544974692">
    <w:abstractNumId w:val="17"/>
  </w:num>
  <w:num w:numId="18" w16cid:durableId="274866635">
    <w:abstractNumId w:val="3"/>
  </w:num>
  <w:num w:numId="19" w16cid:durableId="1701853203">
    <w:abstractNumId w:val="6"/>
    <w:lvlOverride w:ilvl="0">
      <w:startOverride w:val="1"/>
    </w:lvlOverride>
    <w:lvlOverride w:ilvl="1"/>
    <w:lvlOverride w:ilvl="2"/>
    <w:lvlOverride w:ilvl="3"/>
    <w:lvlOverride w:ilvl="4"/>
    <w:lvlOverride w:ilvl="5"/>
    <w:lvlOverride w:ilvl="6"/>
    <w:lvlOverride w:ilvl="7"/>
    <w:lvlOverride w:ilvl="8"/>
  </w:num>
  <w:num w:numId="20" w16cid:durableId="451940371">
    <w:abstractNumId w:val="26"/>
  </w:num>
  <w:num w:numId="21" w16cid:durableId="1017120051">
    <w:abstractNumId w:val="9"/>
  </w:num>
  <w:num w:numId="22" w16cid:durableId="248733124">
    <w:abstractNumId w:val="32"/>
  </w:num>
  <w:num w:numId="23" w16cid:durableId="328873791">
    <w:abstractNumId w:val="24"/>
  </w:num>
  <w:num w:numId="24" w16cid:durableId="2079015185">
    <w:abstractNumId w:val="38"/>
  </w:num>
  <w:num w:numId="25" w16cid:durableId="695499156">
    <w:abstractNumId w:val="12"/>
  </w:num>
  <w:num w:numId="26" w16cid:durableId="1384910201">
    <w:abstractNumId w:val="29"/>
  </w:num>
  <w:num w:numId="27" w16cid:durableId="826745460">
    <w:abstractNumId w:val="14"/>
  </w:num>
  <w:num w:numId="28" w16cid:durableId="377095744">
    <w:abstractNumId w:val="25"/>
  </w:num>
  <w:num w:numId="29" w16cid:durableId="1599092775">
    <w:abstractNumId w:val="18"/>
  </w:num>
  <w:num w:numId="30" w16cid:durableId="656344112">
    <w:abstractNumId w:val="16"/>
  </w:num>
  <w:num w:numId="31" w16cid:durableId="1504471768">
    <w:abstractNumId w:val="35"/>
  </w:num>
  <w:num w:numId="32" w16cid:durableId="1256012954">
    <w:abstractNumId w:val="27"/>
  </w:num>
  <w:num w:numId="33" w16cid:durableId="1326544157">
    <w:abstractNumId w:val="37"/>
  </w:num>
  <w:num w:numId="34" w16cid:durableId="1018848870">
    <w:abstractNumId w:val="20"/>
  </w:num>
  <w:num w:numId="35" w16cid:durableId="1561549031">
    <w:abstractNumId w:val="19"/>
  </w:num>
  <w:num w:numId="36" w16cid:durableId="1317764206">
    <w:abstractNumId w:val="15"/>
  </w:num>
  <w:num w:numId="37" w16cid:durableId="276178538">
    <w:abstractNumId w:val="36"/>
  </w:num>
  <w:num w:numId="38" w16cid:durableId="416099288">
    <w:abstractNumId w:val="1"/>
  </w:num>
  <w:num w:numId="39" w16cid:durableId="336659425">
    <w:abstractNumId w:val="0"/>
  </w:num>
  <w:num w:numId="40" w16cid:durableId="149418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443"/>
    <w:rsid w:val="0001660D"/>
    <w:rsid w:val="000224B9"/>
    <w:rsid w:val="00051E3D"/>
    <w:rsid w:val="000556E8"/>
    <w:rsid w:val="00066041"/>
    <w:rsid w:val="00066B73"/>
    <w:rsid w:val="00080EEC"/>
    <w:rsid w:val="000A1B9B"/>
    <w:rsid w:val="000A6949"/>
    <w:rsid w:val="000E5242"/>
    <w:rsid w:val="00100272"/>
    <w:rsid w:val="001160DA"/>
    <w:rsid w:val="001174CC"/>
    <w:rsid w:val="00120AB1"/>
    <w:rsid w:val="00125D8C"/>
    <w:rsid w:val="00144EA7"/>
    <w:rsid w:val="0017656B"/>
    <w:rsid w:val="001A4ED3"/>
    <w:rsid w:val="001A7575"/>
    <w:rsid w:val="001B2E27"/>
    <w:rsid w:val="001B3513"/>
    <w:rsid w:val="001D2B6B"/>
    <w:rsid w:val="001E4CE3"/>
    <w:rsid w:val="001E558D"/>
    <w:rsid w:val="00215EC2"/>
    <w:rsid w:val="00223AE8"/>
    <w:rsid w:val="002310E6"/>
    <w:rsid w:val="00240BA9"/>
    <w:rsid w:val="002524E9"/>
    <w:rsid w:val="00286136"/>
    <w:rsid w:val="002D77D9"/>
    <w:rsid w:val="002E1A0B"/>
    <w:rsid w:val="002E6081"/>
    <w:rsid w:val="002F1DD1"/>
    <w:rsid w:val="002F3AB9"/>
    <w:rsid w:val="002F76E8"/>
    <w:rsid w:val="00335A91"/>
    <w:rsid w:val="003500E5"/>
    <w:rsid w:val="00354D1E"/>
    <w:rsid w:val="00356841"/>
    <w:rsid w:val="00357B24"/>
    <w:rsid w:val="003676D4"/>
    <w:rsid w:val="003B0C59"/>
    <w:rsid w:val="003B4D74"/>
    <w:rsid w:val="003C7020"/>
    <w:rsid w:val="003D11F0"/>
    <w:rsid w:val="00401778"/>
    <w:rsid w:val="004044AA"/>
    <w:rsid w:val="00433BBA"/>
    <w:rsid w:val="004360E8"/>
    <w:rsid w:val="00461B0C"/>
    <w:rsid w:val="00461CC8"/>
    <w:rsid w:val="00463F65"/>
    <w:rsid w:val="00484EDE"/>
    <w:rsid w:val="004C7FC9"/>
    <w:rsid w:val="004F3E81"/>
    <w:rsid w:val="0054515E"/>
    <w:rsid w:val="00567B0B"/>
    <w:rsid w:val="00582A9F"/>
    <w:rsid w:val="00584CE8"/>
    <w:rsid w:val="00597A94"/>
    <w:rsid w:val="005B41EF"/>
    <w:rsid w:val="005E3065"/>
    <w:rsid w:val="0060394C"/>
    <w:rsid w:val="006279AE"/>
    <w:rsid w:val="00635D46"/>
    <w:rsid w:val="00645FB1"/>
    <w:rsid w:val="006611A9"/>
    <w:rsid w:val="00687E76"/>
    <w:rsid w:val="0069470B"/>
    <w:rsid w:val="006952B6"/>
    <w:rsid w:val="006B3D79"/>
    <w:rsid w:val="006E4979"/>
    <w:rsid w:val="006E7FB1"/>
    <w:rsid w:val="00711843"/>
    <w:rsid w:val="00733107"/>
    <w:rsid w:val="00736A62"/>
    <w:rsid w:val="00741B9E"/>
    <w:rsid w:val="00743151"/>
    <w:rsid w:val="00745EB4"/>
    <w:rsid w:val="00756492"/>
    <w:rsid w:val="007714E7"/>
    <w:rsid w:val="007718B2"/>
    <w:rsid w:val="007938E6"/>
    <w:rsid w:val="007C2F04"/>
    <w:rsid w:val="007D3503"/>
    <w:rsid w:val="007E16D2"/>
    <w:rsid w:val="007F130B"/>
    <w:rsid w:val="008072CA"/>
    <w:rsid w:val="0081085E"/>
    <w:rsid w:val="008363A9"/>
    <w:rsid w:val="0087227E"/>
    <w:rsid w:val="00891617"/>
    <w:rsid w:val="008A67F3"/>
    <w:rsid w:val="008B6783"/>
    <w:rsid w:val="008D59AE"/>
    <w:rsid w:val="00910666"/>
    <w:rsid w:val="0092054A"/>
    <w:rsid w:val="00921F23"/>
    <w:rsid w:val="009943C3"/>
    <w:rsid w:val="009A1E48"/>
    <w:rsid w:val="009A2633"/>
    <w:rsid w:val="009C6E75"/>
    <w:rsid w:val="009D71E8"/>
    <w:rsid w:val="009E4B3D"/>
    <w:rsid w:val="00A02F27"/>
    <w:rsid w:val="00A50CC6"/>
    <w:rsid w:val="00A65B5C"/>
    <w:rsid w:val="00A74097"/>
    <w:rsid w:val="00AA098E"/>
    <w:rsid w:val="00AC4409"/>
    <w:rsid w:val="00AE6F1E"/>
    <w:rsid w:val="00AF528D"/>
    <w:rsid w:val="00B033C3"/>
    <w:rsid w:val="00B318EB"/>
    <w:rsid w:val="00B625B5"/>
    <w:rsid w:val="00B764CB"/>
    <w:rsid w:val="00B877FA"/>
    <w:rsid w:val="00BB6DD8"/>
    <w:rsid w:val="00BC3E19"/>
    <w:rsid w:val="00C33BEE"/>
    <w:rsid w:val="00C52EC2"/>
    <w:rsid w:val="00C56E39"/>
    <w:rsid w:val="00C61129"/>
    <w:rsid w:val="00C83F84"/>
    <w:rsid w:val="00CA16DA"/>
    <w:rsid w:val="00CE1081"/>
    <w:rsid w:val="00D0736B"/>
    <w:rsid w:val="00D114CD"/>
    <w:rsid w:val="00D177A3"/>
    <w:rsid w:val="00D33FE5"/>
    <w:rsid w:val="00D529DF"/>
    <w:rsid w:val="00D61DB6"/>
    <w:rsid w:val="00D776DE"/>
    <w:rsid w:val="00D91774"/>
    <w:rsid w:val="00D97271"/>
    <w:rsid w:val="00DA2BB9"/>
    <w:rsid w:val="00DA61C3"/>
    <w:rsid w:val="00DF1C6E"/>
    <w:rsid w:val="00E21ADA"/>
    <w:rsid w:val="00E61D63"/>
    <w:rsid w:val="00E66558"/>
    <w:rsid w:val="00E80353"/>
    <w:rsid w:val="00E82EB6"/>
    <w:rsid w:val="00E9140C"/>
    <w:rsid w:val="00EB4540"/>
    <w:rsid w:val="00EF2350"/>
    <w:rsid w:val="00F54497"/>
    <w:rsid w:val="00F6032C"/>
    <w:rsid w:val="00F74A97"/>
    <w:rsid w:val="00F763BF"/>
    <w:rsid w:val="00F85716"/>
    <w:rsid w:val="00FA7729"/>
    <w:rsid w:val="00FD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D0D0D"/>
      <w:sz w:val="24"/>
      <w:szCs w:val="24"/>
    </w:rPr>
  </w:style>
  <w:style w:type="paragraph" w:styleId="Heading1">
    <w:name w:val="heading 1"/>
    <w:basedOn w:val="Normal"/>
    <w:next w:val="Normal"/>
    <w:uiPriority w:val="9"/>
    <w:qFormat/>
    <w:pPr>
      <w:pageBreakBefore/>
      <w:outlineLvl w:val="0"/>
    </w:pPr>
    <w:rPr>
      <w:b/>
      <w:color w:val="104F75"/>
      <w:sz w:val="36"/>
    </w:rPr>
  </w:style>
  <w:style w:type="paragraph" w:styleId="Heading2">
    <w:name w:val="heading 2"/>
    <w:basedOn w:val="Normal"/>
    <w:next w:val="Normal"/>
    <w:uiPriority w:val="9"/>
    <w:unhideWhenUsed/>
    <w:qFormat/>
    <w:pPr>
      <w:keepNext/>
      <w:spacing w:before="480"/>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textAlignment w:val="baseline"/>
    </w:pPr>
    <w:rPr>
      <w:color w:val="auto"/>
      <w:szCs w:val="20"/>
      <w:lang w:eastAsia="en-US"/>
    </w:rPr>
  </w:style>
  <w:style w:type="paragraph" w:customStyle="1" w:styleId="Numbered">
    <w:name w:val="Numbered"/>
    <w:basedOn w:val="Normal"/>
    <w:pPr>
      <w:widowControl w:val="0"/>
      <w:overflowPunct w:val="0"/>
      <w:autoSpaceDE w:val="0"/>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semiHidden/>
    <w:rsid w:val="00EF2350"/>
    <w:rPr>
      <w:color w:val="808080"/>
    </w:rPr>
  </w:style>
  <w:style w:type="paragraph" w:styleId="NoSpacing">
    <w:name w:val="No Spacing"/>
    <w:uiPriority w:val="1"/>
    <w:qFormat/>
    <w:rsid w:val="006611A9"/>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706">
      <w:bodyDiv w:val="1"/>
      <w:marLeft w:val="0"/>
      <w:marRight w:val="0"/>
      <w:marTop w:val="0"/>
      <w:marBottom w:val="0"/>
      <w:divBdr>
        <w:top w:val="none" w:sz="0" w:space="0" w:color="auto"/>
        <w:left w:val="none" w:sz="0" w:space="0" w:color="auto"/>
        <w:bottom w:val="none" w:sz="0" w:space="0" w:color="auto"/>
        <w:right w:val="none" w:sz="0" w:space="0" w:color="auto"/>
      </w:divBdr>
    </w:div>
    <w:div w:id="155347159">
      <w:bodyDiv w:val="1"/>
      <w:marLeft w:val="0"/>
      <w:marRight w:val="0"/>
      <w:marTop w:val="0"/>
      <w:marBottom w:val="0"/>
      <w:divBdr>
        <w:top w:val="none" w:sz="0" w:space="0" w:color="auto"/>
        <w:left w:val="none" w:sz="0" w:space="0" w:color="auto"/>
        <w:bottom w:val="none" w:sz="0" w:space="0" w:color="auto"/>
        <w:right w:val="none" w:sz="0" w:space="0" w:color="auto"/>
      </w:divBdr>
    </w:div>
    <w:div w:id="162091867">
      <w:bodyDiv w:val="1"/>
      <w:marLeft w:val="0"/>
      <w:marRight w:val="0"/>
      <w:marTop w:val="0"/>
      <w:marBottom w:val="0"/>
      <w:divBdr>
        <w:top w:val="none" w:sz="0" w:space="0" w:color="auto"/>
        <w:left w:val="none" w:sz="0" w:space="0" w:color="auto"/>
        <w:bottom w:val="none" w:sz="0" w:space="0" w:color="auto"/>
        <w:right w:val="none" w:sz="0" w:space="0" w:color="auto"/>
      </w:divBdr>
    </w:div>
    <w:div w:id="183985501">
      <w:bodyDiv w:val="1"/>
      <w:marLeft w:val="0"/>
      <w:marRight w:val="0"/>
      <w:marTop w:val="0"/>
      <w:marBottom w:val="0"/>
      <w:divBdr>
        <w:top w:val="none" w:sz="0" w:space="0" w:color="auto"/>
        <w:left w:val="none" w:sz="0" w:space="0" w:color="auto"/>
        <w:bottom w:val="none" w:sz="0" w:space="0" w:color="auto"/>
        <w:right w:val="none" w:sz="0" w:space="0" w:color="auto"/>
      </w:divBdr>
    </w:div>
    <w:div w:id="260380496">
      <w:bodyDiv w:val="1"/>
      <w:marLeft w:val="0"/>
      <w:marRight w:val="0"/>
      <w:marTop w:val="0"/>
      <w:marBottom w:val="0"/>
      <w:divBdr>
        <w:top w:val="none" w:sz="0" w:space="0" w:color="auto"/>
        <w:left w:val="none" w:sz="0" w:space="0" w:color="auto"/>
        <w:bottom w:val="none" w:sz="0" w:space="0" w:color="auto"/>
        <w:right w:val="none" w:sz="0" w:space="0" w:color="auto"/>
      </w:divBdr>
    </w:div>
    <w:div w:id="288516176">
      <w:bodyDiv w:val="1"/>
      <w:marLeft w:val="0"/>
      <w:marRight w:val="0"/>
      <w:marTop w:val="0"/>
      <w:marBottom w:val="0"/>
      <w:divBdr>
        <w:top w:val="none" w:sz="0" w:space="0" w:color="auto"/>
        <w:left w:val="none" w:sz="0" w:space="0" w:color="auto"/>
        <w:bottom w:val="none" w:sz="0" w:space="0" w:color="auto"/>
        <w:right w:val="none" w:sz="0" w:space="0" w:color="auto"/>
      </w:divBdr>
    </w:div>
    <w:div w:id="298462446">
      <w:bodyDiv w:val="1"/>
      <w:marLeft w:val="0"/>
      <w:marRight w:val="0"/>
      <w:marTop w:val="0"/>
      <w:marBottom w:val="0"/>
      <w:divBdr>
        <w:top w:val="none" w:sz="0" w:space="0" w:color="auto"/>
        <w:left w:val="none" w:sz="0" w:space="0" w:color="auto"/>
        <w:bottom w:val="none" w:sz="0" w:space="0" w:color="auto"/>
        <w:right w:val="none" w:sz="0" w:space="0" w:color="auto"/>
      </w:divBdr>
    </w:div>
    <w:div w:id="433289028">
      <w:bodyDiv w:val="1"/>
      <w:marLeft w:val="0"/>
      <w:marRight w:val="0"/>
      <w:marTop w:val="0"/>
      <w:marBottom w:val="0"/>
      <w:divBdr>
        <w:top w:val="none" w:sz="0" w:space="0" w:color="auto"/>
        <w:left w:val="none" w:sz="0" w:space="0" w:color="auto"/>
        <w:bottom w:val="none" w:sz="0" w:space="0" w:color="auto"/>
        <w:right w:val="none" w:sz="0" w:space="0" w:color="auto"/>
      </w:divBdr>
    </w:div>
    <w:div w:id="503279546">
      <w:bodyDiv w:val="1"/>
      <w:marLeft w:val="0"/>
      <w:marRight w:val="0"/>
      <w:marTop w:val="0"/>
      <w:marBottom w:val="0"/>
      <w:divBdr>
        <w:top w:val="none" w:sz="0" w:space="0" w:color="auto"/>
        <w:left w:val="none" w:sz="0" w:space="0" w:color="auto"/>
        <w:bottom w:val="none" w:sz="0" w:space="0" w:color="auto"/>
        <w:right w:val="none" w:sz="0" w:space="0" w:color="auto"/>
      </w:divBdr>
    </w:div>
    <w:div w:id="506289714">
      <w:bodyDiv w:val="1"/>
      <w:marLeft w:val="0"/>
      <w:marRight w:val="0"/>
      <w:marTop w:val="0"/>
      <w:marBottom w:val="0"/>
      <w:divBdr>
        <w:top w:val="none" w:sz="0" w:space="0" w:color="auto"/>
        <w:left w:val="none" w:sz="0" w:space="0" w:color="auto"/>
        <w:bottom w:val="none" w:sz="0" w:space="0" w:color="auto"/>
        <w:right w:val="none" w:sz="0" w:space="0" w:color="auto"/>
      </w:divBdr>
    </w:div>
    <w:div w:id="551311252">
      <w:bodyDiv w:val="1"/>
      <w:marLeft w:val="0"/>
      <w:marRight w:val="0"/>
      <w:marTop w:val="0"/>
      <w:marBottom w:val="0"/>
      <w:divBdr>
        <w:top w:val="none" w:sz="0" w:space="0" w:color="auto"/>
        <w:left w:val="none" w:sz="0" w:space="0" w:color="auto"/>
        <w:bottom w:val="none" w:sz="0" w:space="0" w:color="auto"/>
        <w:right w:val="none" w:sz="0" w:space="0" w:color="auto"/>
      </w:divBdr>
    </w:div>
    <w:div w:id="553665087">
      <w:bodyDiv w:val="1"/>
      <w:marLeft w:val="0"/>
      <w:marRight w:val="0"/>
      <w:marTop w:val="0"/>
      <w:marBottom w:val="0"/>
      <w:divBdr>
        <w:top w:val="none" w:sz="0" w:space="0" w:color="auto"/>
        <w:left w:val="none" w:sz="0" w:space="0" w:color="auto"/>
        <w:bottom w:val="none" w:sz="0" w:space="0" w:color="auto"/>
        <w:right w:val="none" w:sz="0" w:space="0" w:color="auto"/>
      </w:divBdr>
    </w:div>
    <w:div w:id="687869738">
      <w:bodyDiv w:val="1"/>
      <w:marLeft w:val="0"/>
      <w:marRight w:val="0"/>
      <w:marTop w:val="0"/>
      <w:marBottom w:val="0"/>
      <w:divBdr>
        <w:top w:val="none" w:sz="0" w:space="0" w:color="auto"/>
        <w:left w:val="none" w:sz="0" w:space="0" w:color="auto"/>
        <w:bottom w:val="none" w:sz="0" w:space="0" w:color="auto"/>
        <w:right w:val="none" w:sz="0" w:space="0" w:color="auto"/>
      </w:divBdr>
    </w:div>
    <w:div w:id="705179332">
      <w:bodyDiv w:val="1"/>
      <w:marLeft w:val="0"/>
      <w:marRight w:val="0"/>
      <w:marTop w:val="0"/>
      <w:marBottom w:val="0"/>
      <w:divBdr>
        <w:top w:val="none" w:sz="0" w:space="0" w:color="auto"/>
        <w:left w:val="none" w:sz="0" w:space="0" w:color="auto"/>
        <w:bottom w:val="none" w:sz="0" w:space="0" w:color="auto"/>
        <w:right w:val="none" w:sz="0" w:space="0" w:color="auto"/>
      </w:divBdr>
    </w:div>
    <w:div w:id="739013281">
      <w:bodyDiv w:val="1"/>
      <w:marLeft w:val="0"/>
      <w:marRight w:val="0"/>
      <w:marTop w:val="0"/>
      <w:marBottom w:val="0"/>
      <w:divBdr>
        <w:top w:val="none" w:sz="0" w:space="0" w:color="auto"/>
        <w:left w:val="none" w:sz="0" w:space="0" w:color="auto"/>
        <w:bottom w:val="none" w:sz="0" w:space="0" w:color="auto"/>
        <w:right w:val="none" w:sz="0" w:space="0" w:color="auto"/>
      </w:divBdr>
    </w:div>
    <w:div w:id="754857479">
      <w:bodyDiv w:val="1"/>
      <w:marLeft w:val="0"/>
      <w:marRight w:val="0"/>
      <w:marTop w:val="0"/>
      <w:marBottom w:val="0"/>
      <w:divBdr>
        <w:top w:val="none" w:sz="0" w:space="0" w:color="auto"/>
        <w:left w:val="none" w:sz="0" w:space="0" w:color="auto"/>
        <w:bottom w:val="none" w:sz="0" w:space="0" w:color="auto"/>
        <w:right w:val="none" w:sz="0" w:space="0" w:color="auto"/>
      </w:divBdr>
    </w:div>
    <w:div w:id="807938704">
      <w:bodyDiv w:val="1"/>
      <w:marLeft w:val="0"/>
      <w:marRight w:val="0"/>
      <w:marTop w:val="0"/>
      <w:marBottom w:val="0"/>
      <w:divBdr>
        <w:top w:val="none" w:sz="0" w:space="0" w:color="auto"/>
        <w:left w:val="none" w:sz="0" w:space="0" w:color="auto"/>
        <w:bottom w:val="none" w:sz="0" w:space="0" w:color="auto"/>
        <w:right w:val="none" w:sz="0" w:space="0" w:color="auto"/>
      </w:divBdr>
    </w:div>
    <w:div w:id="950935298">
      <w:bodyDiv w:val="1"/>
      <w:marLeft w:val="0"/>
      <w:marRight w:val="0"/>
      <w:marTop w:val="0"/>
      <w:marBottom w:val="0"/>
      <w:divBdr>
        <w:top w:val="none" w:sz="0" w:space="0" w:color="auto"/>
        <w:left w:val="none" w:sz="0" w:space="0" w:color="auto"/>
        <w:bottom w:val="none" w:sz="0" w:space="0" w:color="auto"/>
        <w:right w:val="none" w:sz="0" w:space="0" w:color="auto"/>
      </w:divBdr>
    </w:div>
    <w:div w:id="974212057">
      <w:bodyDiv w:val="1"/>
      <w:marLeft w:val="0"/>
      <w:marRight w:val="0"/>
      <w:marTop w:val="0"/>
      <w:marBottom w:val="0"/>
      <w:divBdr>
        <w:top w:val="none" w:sz="0" w:space="0" w:color="auto"/>
        <w:left w:val="none" w:sz="0" w:space="0" w:color="auto"/>
        <w:bottom w:val="none" w:sz="0" w:space="0" w:color="auto"/>
        <w:right w:val="none" w:sz="0" w:space="0" w:color="auto"/>
      </w:divBdr>
    </w:div>
    <w:div w:id="1139572734">
      <w:bodyDiv w:val="1"/>
      <w:marLeft w:val="0"/>
      <w:marRight w:val="0"/>
      <w:marTop w:val="0"/>
      <w:marBottom w:val="0"/>
      <w:divBdr>
        <w:top w:val="none" w:sz="0" w:space="0" w:color="auto"/>
        <w:left w:val="none" w:sz="0" w:space="0" w:color="auto"/>
        <w:bottom w:val="none" w:sz="0" w:space="0" w:color="auto"/>
        <w:right w:val="none" w:sz="0" w:space="0" w:color="auto"/>
      </w:divBdr>
    </w:div>
    <w:div w:id="1158376098">
      <w:bodyDiv w:val="1"/>
      <w:marLeft w:val="0"/>
      <w:marRight w:val="0"/>
      <w:marTop w:val="0"/>
      <w:marBottom w:val="0"/>
      <w:divBdr>
        <w:top w:val="none" w:sz="0" w:space="0" w:color="auto"/>
        <w:left w:val="none" w:sz="0" w:space="0" w:color="auto"/>
        <w:bottom w:val="none" w:sz="0" w:space="0" w:color="auto"/>
        <w:right w:val="none" w:sz="0" w:space="0" w:color="auto"/>
      </w:divBdr>
    </w:div>
    <w:div w:id="1318145725">
      <w:bodyDiv w:val="1"/>
      <w:marLeft w:val="0"/>
      <w:marRight w:val="0"/>
      <w:marTop w:val="0"/>
      <w:marBottom w:val="0"/>
      <w:divBdr>
        <w:top w:val="none" w:sz="0" w:space="0" w:color="auto"/>
        <w:left w:val="none" w:sz="0" w:space="0" w:color="auto"/>
        <w:bottom w:val="none" w:sz="0" w:space="0" w:color="auto"/>
        <w:right w:val="none" w:sz="0" w:space="0" w:color="auto"/>
      </w:divBdr>
    </w:div>
    <w:div w:id="1525316951">
      <w:bodyDiv w:val="1"/>
      <w:marLeft w:val="0"/>
      <w:marRight w:val="0"/>
      <w:marTop w:val="0"/>
      <w:marBottom w:val="0"/>
      <w:divBdr>
        <w:top w:val="none" w:sz="0" w:space="0" w:color="auto"/>
        <w:left w:val="none" w:sz="0" w:space="0" w:color="auto"/>
        <w:bottom w:val="none" w:sz="0" w:space="0" w:color="auto"/>
        <w:right w:val="none" w:sz="0" w:space="0" w:color="auto"/>
      </w:divBdr>
    </w:div>
    <w:div w:id="1582133046">
      <w:bodyDiv w:val="1"/>
      <w:marLeft w:val="0"/>
      <w:marRight w:val="0"/>
      <w:marTop w:val="0"/>
      <w:marBottom w:val="0"/>
      <w:divBdr>
        <w:top w:val="none" w:sz="0" w:space="0" w:color="auto"/>
        <w:left w:val="none" w:sz="0" w:space="0" w:color="auto"/>
        <w:bottom w:val="none" w:sz="0" w:space="0" w:color="auto"/>
        <w:right w:val="none" w:sz="0" w:space="0" w:color="auto"/>
      </w:divBdr>
    </w:div>
    <w:div w:id="1624844144">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20396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0986/Reading_framework_Teaching_the_foundations_of_literacy_-_July-2021.pdf" TargetMode="External"/><Relationship Id="rId13" Type="http://schemas.openxmlformats.org/officeDocument/2006/relationships/hyperlink" Target="https://educationendowmentfoundation.org.uk/education-evidence/guidance-reports/teaching-assist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support-for-schools/school-improvement-planning/3-wider-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guidance-for-teachers/using-pupil-premium" TargetMode="External"/><Relationship Id="rId5" Type="http://schemas.openxmlformats.org/officeDocument/2006/relationships/footnotes" Target="footnotes.xml"/><Relationship Id="rId15" Type="http://schemas.openxmlformats.org/officeDocument/2006/relationships/hyperlink" Target="file:///C:\Users\kirsten\EEF%20Guidance%20about%20Wider%20strategies%20focusing%20on%20SEL,%20Well-being%20and%20Mental%20Health" TargetMode="External"/><Relationship Id="rId10" Type="http://schemas.openxmlformats.org/officeDocument/2006/relationships/hyperlink" Target="https://educationendowmentfoundation.org.uk/guidance-for-teachers/using-pupil-prem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Jacques</cp:lastModifiedBy>
  <cp:revision>2</cp:revision>
  <cp:lastPrinted>2022-05-11T13:27:00Z</cp:lastPrinted>
  <dcterms:created xsi:type="dcterms:W3CDTF">2023-02-10T14:00:00Z</dcterms:created>
  <dcterms:modified xsi:type="dcterms:W3CDTF">2023-02-10T14:00:00Z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